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E1F486">
      <w:pPr>
        <w:autoSpaceDE w:val="0"/>
        <w:autoSpaceDN w:val="0"/>
        <w:spacing w:line="520" w:lineRule="exact"/>
        <w:ind w:firstLine="708" w:firstLineChars="196"/>
        <w:jc w:val="center"/>
        <w:outlineLvl w:val="1"/>
        <w:rPr>
          <w:rFonts w:hint="eastAsia" w:ascii="仿宋" w:hAnsi="仿宋" w:eastAsia="仿宋" w:cs="仿宋"/>
          <w:b/>
          <w:sz w:val="36"/>
          <w:szCs w:val="32"/>
          <w:lang w:val="en-US" w:eastAsia="zh-CN"/>
        </w:rPr>
      </w:pPr>
      <w:bookmarkStart w:id="0" w:name="_Toc11646"/>
      <w:r>
        <w:rPr>
          <w:rFonts w:hint="eastAsia" w:ascii="仿宋" w:hAnsi="仿宋" w:eastAsia="仿宋" w:cs="仿宋"/>
          <w:b/>
          <w:sz w:val="36"/>
          <w:szCs w:val="32"/>
          <w:lang w:val="en-US" w:eastAsia="zh-CN"/>
        </w:rPr>
        <w:t>雅安市人民医院</w:t>
      </w:r>
    </w:p>
    <w:p w14:paraId="4A730A61">
      <w:pPr>
        <w:autoSpaceDE w:val="0"/>
        <w:autoSpaceDN w:val="0"/>
        <w:spacing w:line="520" w:lineRule="exact"/>
        <w:ind w:firstLine="708" w:firstLineChars="196"/>
        <w:jc w:val="center"/>
        <w:outlineLvl w:val="1"/>
        <w:rPr>
          <w:rFonts w:hint="eastAsia" w:ascii="仿宋" w:hAnsi="仿宋" w:eastAsia="仿宋" w:cs="仿宋"/>
          <w:b/>
          <w:sz w:val="36"/>
          <w:szCs w:val="32"/>
        </w:rPr>
      </w:pPr>
      <w:r>
        <w:rPr>
          <w:rFonts w:hint="eastAsia" w:ascii="仿宋" w:hAnsi="仿宋" w:eastAsia="仿宋" w:cs="仿宋"/>
          <w:b/>
          <w:sz w:val="36"/>
          <w:szCs w:val="32"/>
          <w:lang w:val="en-US" w:eastAsia="zh-CN"/>
        </w:rPr>
        <w:t>5G专网覆盖建设参数</w:t>
      </w:r>
      <w:r>
        <w:rPr>
          <w:rFonts w:hint="eastAsia" w:ascii="仿宋" w:hAnsi="仿宋" w:eastAsia="仿宋" w:cs="仿宋"/>
          <w:b/>
          <w:sz w:val="36"/>
          <w:szCs w:val="32"/>
        </w:rPr>
        <w:t>要求</w:t>
      </w:r>
      <w:bookmarkEnd w:id="0"/>
    </w:p>
    <w:p w14:paraId="236FF9C9">
      <w:pPr>
        <w:rPr>
          <w:rFonts w:hint="eastAsia"/>
          <w:lang w:val="en-US" w:eastAsia="zh-CN"/>
        </w:rPr>
      </w:pPr>
    </w:p>
    <w:p w14:paraId="58164534">
      <w:pPr>
        <w:keepNext w:val="0"/>
        <w:keepLines w:val="0"/>
        <w:pageBreakBefore w:val="0"/>
        <w:widowControl w:val="0"/>
        <w:numPr>
          <w:ilvl w:val="0"/>
          <w:numId w:val="2"/>
        </w:numPr>
        <w:kinsoku/>
        <w:wordWrap/>
        <w:overflowPunct/>
        <w:topLinePunct w:val="0"/>
        <w:autoSpaceDE w:val="0"/>
        <w:autoSpaceDN w:val="0"/>
        <w:bidi w:val="0"/>
        <w:adjustRightInd/>
        <w:snapToGrid/>
        <w:spacing w:line="360" w:lineRule="auto"/>
        <w:textAlignment w:val="auto"/>
        <w:outlineLvl w:val="1"/>
        <w:rPr>
          <w:rFonts w:hint="eastAsia" w:asciiTheme="minorHAnsi" w:hAnsiTheme="minorHAnsi" w:eastAsiaTheme="minorEastAsia" w:cstheme="minorBidi"/>
          <w:b/>
          <w:kern w:val="0"/>
          <w:sz w:val="28"/>
          <w:szCs w:val="20"/>
          <w:lang w:val="en-US" w:eastAsia="zh-CN" w:bidi="ar-SA"/>
        </w:rPr>
      </w:pPr>
      <w:r>
        <w:rPr>
          <w:rFonts w:hint="eastAsia" w:asciiTheme="minorHAnsi" w:hAnsiTheme="minorHAnsi" w:eastAsiaTheme="minorEastAsia" w:cstheme="minorBidi"/>
          <w:b/>
          <w:kern w:val="0"/>
          <w:sz w:val="28"/>
          <w:szCs w:val="20"/>
          <w:lang w:val="en-US" w:eastAsia="zh-CN" w:bidi="ar-SA"/>
        </w:rPr>
        <w:t>采购内容</w:t>
      </w:r>
    </w:p>
    <w:p w14:paraId="6B101B8B">
      <w:pPr>
        <w:keepNext w:val="0"/>
        <w:keepLines w:val="0"/>
        <w:pageBreakBefore w:val="0"/>
        <w:widowControl w:val="0"/>
        <w:numPr>
          <w:numId w:val="0"/>
        </w:numPr>
        <w:kinsoku/>
        <w:wordWrap/>
        <w:overflowPunct/>
        <w:topLinePunct w:val="0"/>
        <w:autoSpaceDE w:val="0"/>
        <w:autoSpaceDN w:val="0"/>
        <w:bidi w:val="0"/>
        <w:adjustRightInd/>
        <w:snapToGrid/>
        <w:spacing w:line="360" w:lineRule="auto"/>
        <w:textAlignment w:val="auto"/>
        <w:outlineLvl w:val="1"/>
        <w:rPr>
          <w:rFonts w:hint="eastAsia" w:asciiTheme="minorHAnsi" w:hAnsiTheme="minorHAnsi" w:eastAsiaTheme="minorEastAsia" w:cstheme="minorBidi"/>
          <w:b/>
          <w:kern w:val="0"/>
          <w:sz w:val="28"/>
          <w:szCs w:val="20"/>
          <w:lang w:val="en-US" w:eastAsia="zh-CN" w:bidi="ar-SA"/>
        </w:rPr>
      </w:pPr>
      <w:bookmarkStart w:id="2" w:name="_GoBack"/>
      <w:bookmarkEnd w:id="2"/>
    </w:p>
    <w:tbl>
      <w:tblPr>
        <w:tblStyle w:val="15"/>
        <w:tblW w:w="94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1"/>
        <w:gridCol w:w="4354"/>
        <w:gridCol w:w="4375"/>
      </w:tblGrid>
      <w:tr w14:paraId="26D045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jc w:val="center"/>
        </w:trPr>
        <w:tc>
          <w:tcPr>
            <w:tcW w:w="711" w:type="dxa"/>
            <w:tcBorders>
              <w:top w:val="single" w:color="auto" w:sz="4" w:space="0"/>
              <w:left w:val="single" w:color="auto" w:sz="4" w:space="0"/>
              <w:bottom w:val="single" w:color="auto" w:sz="4" w:space="0"/>
              <w:right w:val="single" w:color="auto" w:sz="4" w:space="0"/>
            </w:tcBorders>
            <w:vAlign w:val="center"/>
          </w:tcPr>
          <w:p w14:paraId="05C0AD1A">
            <w:pPr>
              <w:widowControl/>
              <w:adjustRightInd w:val="0"/>
              <w:snapToGrid w:val="0"/>
              <w:jc w:val="center"/>
              <w:rPr>
                <w:rFonts w:ascii="仿宋" w:hAnsi="仿宋" w:eastAsia="仿宋" w:cs="仿宋"/>
                <w:b/>
                <w:color w:val="000000"/>
              </w:rPr>
            </w:pPr>
            <w:r>
              <w:rPr>
                <w:rFonts w:hint="eastAsia" w:ascii="仿宋" w:hAnsi="仿宋" w:eastAsia="仿宋" w:cs="仿宋"/>
                <w:b/>
                <w:color w:val="000000"/>
              </w:rPr>
              <w:t>序号</w:t>
            </w:r>
          </w:p>
        </w:tc>
        <w:tc>
          <w:tcPr>
            <w:tcW w:w="4354" w:type="dxa"/>
            <w:tcBorders>
              <w:top w:val="single" w:color="auto" w:sz="4" w:space="0"/>
              <w:left w:val="single" w:color="auto" w:sz="4" w:space="0"/>
              <w:bottom w:val="single" w:color="auto" w:sz="4" w:space="0"/>
              <w:right w:val="single" w:color="auto" w:sz="4" w:space="0"/>
            </w:tcBorders>
            <w:vAlign w:val="center"/>
          </w:tcPr>
          <w:p w14:paraId="66760DBD">
            <w:pPr>
              <w:widowControl/>
              <w:adjustRightInd w:val="0"/>
              <w:snapToGrid w:val="0"/>
              <w:jc w:val="center"/>
              <w:rPr>
                <w:rFonts w:ascii="仿宋" w:hAnsi="仿宋" w:eastAsia="仿宋" w:cs="仿宋"/>
                <w:b/>
                <w:color w:val="000000"/>
              </w:rPr>
            </w:pPr>
            <w:r>
              <w:rPr>
                <w:rFonts w:hint="eastAsia" w:ascii="仿宋" w:hAnsi="仿宋" w:eastAsia="仿宋" w:cs="仿宋"/>
                <w:b/>
                <w:color w:val="000000"/>
              </w:rPr>
              <w:t>货物名称</w:t>
            </w:r>
          </w:p>
        </w:tc>
        <w:tc>
          <w:tcPr>
            <w:tcW w:w="4375" w:type="dxa"/>
            <w:tcBorders>
              <w:top w:val="single" w:color="auto" w:sz="4" w:space="0"/>
              <w:left w:val="single" w:color="auto" w:sz="4" w:space="0"/>
              <w:bottom w:val="single" w:color="auto" w:sz="4" w:space="0"/>
              <w:right w:val="single" w:color="auto" w:sz="4" w:space="0"/>
            </w:tcBorders>
            <w:vAlign w:val="center"/>
          </w:tcPr>
          <w:p w14:paraId="10E62594">
            <w:pPr>
              <w:widowControl/>
              <w:adjustRightInd w:val="0"/>
              <w:snapToGrid w:val="0"/>
              <w:jc w:val="center"/>
              <w:rPr>
                <w:rFonts w:ascii="仿宋" w:hAnsi="仿宋" w:eastAsia="仿宋" w:cs="仿宋"/>
                <w:b/>
                <w:color w:val="000000"/>
              </w:rPr>
            </w:pPr>
            <w:r>
              <w:rPr>
                <w:rFonts w:hint="eastAsia" w:ascii="仿宋" w:hAnsi="仿宋" w:eastAsia="仿宋" w:cs="仿宋"/>
                <w:b/>
                <w:color w:val="000000"/>
              </w:rPr>
              <w:t>数量</w:t>
            </w:r>
          </w:p>
        </w:tc>
      </w:tr>
      <w:tr w14:paraId="39C056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711" w:type="dxa"/>
            <w:tcBorders>
              <w:top w:val="single" w:color="auto" w:sz="4" w:space="0"/>
              <w:left w:val="single" w:color="auto" w:sz="4" w:space="0"/>
              <w:bottom w:val="single" w:color="auto" w:sz="4" w:space="0"/>
              <w:right w:val="single" w:color="auto" w:sz="4" w:space="0"/>
            </w:tcBorders>
            <w:vAlign w:val="center"/>
          </w:tcPr>
          <w:p w14:paraId="58F03B6C">
            <w:pPr>
              <w:widowControl/>
              <w:adjustRightInd w:val="0"/>
              <w:snapToGrid w:val="0"/>
              <w:jc w:val="center"/>
              <w:rPr>
                <w:rFonts w:ascii="仿宋" w:hAnsi="仿宋" w:eastAsia="仿宋" w:cs="仿宋"/>
                <w:color w:val="000000"/>
              </w:rPr>
            </w:pPr>
            <w:r>
              <w:rPr>
                <w:rFonts w:hint="eastAsia" w:ascii="仿宋" w:hAnsi="仿宋" w:eastAsia="仿宋" w:cs="仿宋"/>
                <w:color w:val="000000"/>
              </w:rPr>
              <w:t>1</w:t>
            </w:r>
          </w:p>
        </w:tc>
        <w:tc>
          <w:tcPr>
            <w:tcW w:w="4354" w:type="dxa"/>
            <w:tcBorders>
              <w:top w:val="single" w:color="auto" w:sz="4" w:space="0"/>
              <w:left w:val="single" w:color="auto" w:sz="4" w:space="0"/>
              <w:bottom w:val="single" w:color="auto" w:sz="4" w:space="0"/>
              <w:right w:val="single" w:color="auto" w:sz="4" w:space="0"/>
            </w:tcBorders>
            <w:vAlign w:val="center"/>
          </w:tcPr>
          <w:p w14:paraId="1A4B89A2">
            <w:pPr>
              <w:widowControl/>
              <w:jc w:val="center"/>
              <w:textAlignment w:val="center"/>
              <w:rPr>
                <w:rFonts w:hint="default" w:ascii="仿宋" w:hAnsi="仿宋" w:eastAsia="仿宋" w:cs="仿宋"/>
                <w:bCs/>
                <w:color w:val="000000"/>
                <w:lang w:val="en-US" w:eastAsia="zh-CN"/>
              </w:rPr>
            </w:pPr>
            <w:r>
              <w:rPr>
                <w:rFonts w:hint="eastAsia" w:ascii="仿宋" w:hAnsi="仿宋" w:eastAsia="仿宋" w:cs="仿宋"/>
                <w:bCs/>
                <w:color w:val="000000"/>
                <w:lang w:val="en-US" w:eastAsia="zh-CN"/>
              </w:rPr>
              <w:t>物联网卡</w:t>
            </w:r>
          </w:p>
        </w:tc>
        <w:tc>
          <w:tcPr>
            <w:tcW w:w="4375" w:type="dxa"/>
            <w:tcBorders>
              <w:top w:val="single" w:color="auto" w:sz="4" w:space="0"/>
              <w:left w:val="single" w:color="auto" w:sz="4" w:space="0"/>
              <w:bottom w:val="single" w:color="auto" w:sz="4" w:space="0"/>
              <w:right w:val="single" w:color="auto" w:sz="4" w:space="0"/>
            </w:tcBorders>
            <w:vAlign w:val="center"/>
          </w:tcPr>
          <w:p w14:paraId="7184D484">
            <w:pPr>
              <w:widowControl/>
              <w:adjustRightInd w:val="0"/>
              <w:snapToGrid w:val="0"/>
              <w:jc w:val="center"/>
              <w:rPr>
                <w:rFonts w:hint="default" w:ascii="仿宋" w:hAnsi="仿宋" w:eastAsia="仿宋" w:cs="仿宋"/>
                <w:bCs/>
                <w:color w:val="000000"/>
                <w:lang w:val="en-US"/>
              </w:rPr>
            </w:pPr>
            <w:r>
              <w:rPr>
                <w:rFonts w:hint="eastAsia" w:ascii="仿宋" w:hAnsi="仿宋" w:eastAsia="仿宋" w:cs="仿宋"/>
                <w:bCs/>
                <w:color w:val="000000"/>
                <w:lang w:val="en-US" w:eastAsia="zh-CN"/>
              </w:rPr>
              <w:t>90张</w:t>
            </w:r>
          </w:p>
        </w:tc>
      </w:tr>
    </w:tbl>
    <w:p w14:paraId="3A0D0907">
      <w:pPr>
        <w:rPr>
          <w:rFonts w:hint="eastAsia"/>
          <w:lang w:val="en-US" w:eastAsia="zh-CN"/>
        </w:rPr>
      </w:pPr>
    </w:p>
    <w:p w14:paraId="77425E5E">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textAlignment w:val="auto"/>
        <w:outlineLvl w:val="1"/>
        <w:rPr>
          <w:rFonts w:hint="eastAsia" w:asciiTheme="minorHAnsi" w:hAnsiTheme="minorHAnsi" w:eastAsiaTheme="minorEastAsia" w:cstheme="minorBidi"/>
          <w:b/>
          <w:kern w:val="0"/>
          <w:sz w:val="28"/>
          <w:szCs w:val="20"/>
          <w:lang w:val="zh-CN" w:eastAsia="zh-CN" w:bidi="ar-SA"/>
        </w:rPr>
      </w:pPr>
      <w:r>
        <w:rPr>
          <w:rFonts w:hint="eastAsia" w:asciiTheme="minorHAnsi" w:hAnsiTheme="minorHAnsi" w:eastAsiaTheme="minorEastAsia" w:cstheme="minorBidi"/>
          <w:b/>
          <w:kern w:val="0"/>
          <w:sz w:val="28"/>
          <w:szCs w:val="20"/>
          <w:lang w:val="en-US" w:eastAsia="zh-CN" w:bidi="ar-SA"/>
        </w:rPr>
        <w:t>二、参数</w:t>
      </w:r>
      <w:r>
        <w:rPr>
          <w:rFonts w:hint="eastAsia" w:asciiTheme="minorHAnsi" w:hAnsiTheme="minorHAnsi" w:eastAsiaTheme="minorEastAsia" w:cstheme="minorBidi"/>
          <w:b/>
          <w:kern w:val="0"/>
          <w:sz w:val="28"/>
          <w:szCs w:val="20"/>
          <w:lang w:val="zh-CN" w:eastAsia="zh-CN" w:bidi="ar-SA"/>
        </w:rPr>
        <w:t>要求</w:t>
      </w:r>
    </w:p>
    <w:tbl>
      <w:tblPr>
        <w:tblStyle w:val="15"/>
        <w:tblpPr w:leftFromText="180" w:rightFromText="180" w:vertAnchor="text" w:horzAnchor="page" w:tblpXSpec="center" w:tblpY="432"/>
        <w:tblOverlap w:val="never"/>
        <w:tblW w:w="9958" w:type="dxa"/>
        <w:jc w:val="center"/>
        <w:tblLayout w:type="autofit"/>
        <w:tblCellMar>
          <w:top w:w="0" w:type="dxa"/>
          <w:left w:w="108" w:type="dxa"/>
          <w:bottom w:w="0" w:type="dxa"/>
          <w:right w:w="108" w:type="dxa"/>
        </w:tblCellMar>
      </w:tblPr>
      <w:tblGrid>
        <w:gridCol w:w="716"/>
        <w:gridCol w:w="2056"/>
        <w:gridCol w:w="7186"/>
      </w:tblGrid>
      <w:tr w14:paraId="411295E9">
        <w:tblPrEx>
          <w:tblCellMar>
            <w:top w:w="0" w:type="dxa"/>
            <w:left w:w="108" w:type="dxa"/>
            <w:bottom w:w="0" w:type="dxa"/>
            <w:right w:w="108" w:type="dxa"/>
          </w:tblCellMar>
        </w:tblPrEx>
        <w:trPr>
          <w:trHeight w:val="344"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D7D7D7"/>
            <w:vAlign w:val="bottom"/>
          </w:tcPr>
          <w:p w14:paraId="457D6F9B">
            <w:pPr>
              <w:widowControl/>
              <w:jc w:val="center"/>
              <w:textAlignment w:val="bottom"/>
              <w:rPr>
                <w:rFonts w:ascii="仿宋" w:hAnsi="仿宋" w:eastAsia="仿宋" w:cs="仿宋"/>
                <w:b/>
                <w:bCs/>
                <w:color w:val="000000"/>
              </w:rPr>
            </w:pPr>
            <w:r>
              <w:rPr>
                <w:rFonts w:hint="eastAsia" w:ascii="仿宋" w:hAnsi="仿宋" w:eastAsia="仿宋" w:cs="仿宋"/>
                <w:b/>
                <w:bCs/>
                <w:color w:val="000000"/>
                <w:kern w:val="0"/>
                <w:lang w:bidi="ar"/>
              </w:rPr>
              <w:t>序号</w:t>
            </w:r>
          </w:p>
        </w:tc>
        <w:tc>
          <w:tcPr>
            <w:tcW w:w="2056" w:type="dxa"/>
            <w:tcBorders>
              <w:top w:val="single" w:color="000000" w:sz="4" w:space="0"/>
              <w:left w:val="single" w:color="000000" w:sz="4" w:space="0"/>
              <w:bottom w:val="single" w:color="000000" w:sz="4" w:space="0"/>
              <w:right w:val="single" w:color="000000" w:sz="4" w:space="0"/>
            </w:tcBorders>
            <w:shd w:val="clear" w:color="auto" w:fill="D7D7D7"/>
            <w:vAlign w:val="bottom"/>
          </w:tcPr>
          <w:p w14:paraId="3609F4D8">
            <w:pPr>
              <w:widowControl/>
              <w:jc w:val="center"/>
              <w:textAlignment w:val="bottom"/>
              <w:rPr>
                <w:rFonts w:ascii="仿宋" w:hAnsi="仿宋" w:eastAsia="仿宋" w:cs="仿宋"/>
                <w:b/>
                <w:bCs/>
                <w:color w:val="000000"/>
              </w:rPr>
            </w:pPr>
            <w:r>
              <w:rPr>
                <w:rFonts w:hint="eastAsia" w:ascii="仿宋" w:hAnsi="仿宋" w:eastAsia="仿宋" w:cs="仿宋"/>
                <w:b/>
                <w:bCs/>
                <w:color w:val="000000"/>
                <w:kern w:val="0"/>
                <w:lang w:bidi="ar"/>
              </w:rPr>
              <w:t>内容</w:t>
            </w:r>
          </w:p>
        </w:tc>
        <w:tc>
          <w:tcPr>
            <w:tcW w:w="7186" w:type="dxa"/>
            <w:tcBorders>
              <w:top w:val="single" w:color="000000" w:sz="4" w:space="0"/>
              <w:left w:val="single" w:color="000000" w:sz="4" w:space="0"/>
              <w:bottom w:val="single" w:color="000000" w:sz="4" w:space="0"/>
              <w:right w:val="single" w:color="000000" w:sz="4" w:space="0"/>
            </w:tcBorders>
            <w:shd w:val="clear" w:color="auto" w:fill="D7D7D7"/>
            <w:vAlign w:val="bottom"/>
          </w:tcPr>
          <w:p w14:paraId="0A316E98">
            <w:pPr>
              <w:widowControl/>
              <w:jc w:val="center"/>
              <w:textAlignment w:val="bottom"/>
              <w:rPr>
                <w:rFonts w:ascii="仿宋" w:hAnsi="仿宋" w:eastAsia="仿宋" w:cs="仿宋"/>
                <w:b/>
                <w:bCs/>
                <w:color w:val="000000"/>
              </w:rPr>
            </w:pPr>
            <w:r>
              <w:rPr>
                <w:rFonts w:hint="eastAsia" w:ascii="仿宋" w:hAnsi="仿宋" w:eastAsia="仿宋" w:cs="仿宋"/>
                <w:b/>
                <w:bCs/>
                <w:color w:val="000000"/>
                <w:kern w:val="0"/>
                <w:lang w:eastAsia="zh-CN" w:bidi="ar"/>
              </w:rPr>
              <w:t>参数要求</w:t>
            </w:r>
          </w:p>
        </w:tc>
      </w:tr>
      <w:tr w14:paraId="2FF0C70D">
        <w:tblPrEx>
          <w:tblCellMar>
            <w:top w:w="0" w:type="dxa"/>
            <w:left w:w="108" w:type="dxa"/>
            <w:bottom w:w="0" w:type="dxa"/>
            <w:right w:w="108" w:type="dxa"/>
          </w:tblCellMar>
        </w:tblPrEx>
        <w:trPr>
          <w:trHeight w:val="343" w:hRule="atLeast"/>
          <w:jc w:val="center"/>
        </w:trPr>
        <w:tc>
          <w:tcPr>
            <w:tcW w:w="716" w:type="dxa"/>
            <w:vMerge w:val="restart"/>
            <w:tcBorders>
              <w:top w:val="single" w:color="000000" w:sz="4" w:space="0"/>
              <w:left w:val="single" w:color="000000" w:sz="4" w:space="0"/>
              <w:right w:val="single" w:color="000000" w:sz="4" w:space="0"/>
            </w:tcBorders>
            <w:shd w:val="clear" w:color="auto" w:fill="auto"/>
            <w:vAlign w:val="center"/>
          </w:tcPr>
          <w:p w14:paraId="5549A8CC">
            <w:pPr>
              <w:widowControl/>
              <w:jc w:val="center"/>
              <w:textAlignment w:val="bottom"/>
              <w:rPr>
                <w:rFonts w:hint="eastAsia" w:ascii="仿宋" w:hAnsi="仿宋" w:eastAsia="仿宋" w:cs="仿宋"/>
                <w:color w:val="000000"/>
                <w:kern w:val="0"/>
                <w:lang w:bidi="ar"/>
              </w:rPr>
            </w:pPr>
            <w:r>
              <w:rPr>
                <w:rFonts w:hint="eastAsia" w:ascii="仿宋" w:hAnsi="仿宋" w:eastAsia="仿宋" w:cs="仿宋"/>
                <w:color w:val="000000"/>
                <w:kern w:val="0"/>
                <w:lang w:bidi="ar"/>
              </w:rPr>
              <w:t>1</w:t>
            </w:r>
          </w:p>
          <w:p w14:paraId="0A6E012C">
            <w:pPr>
              <w:widowControl/>
              <w:jc w:val="center"/>
              <w:textAlignment w:val="bottom"/>
              <w:rPr>
                <w:rFonts w:ascii="仿宋" w:hAnsi="仿宋" w:eastAsia="仿宋" w:cs="仿宋"/>
                <w:color w:val="000000"/>
              </w:rPr>
            </w:pPr>
          </w:p>
        </w:tc>
        <w:tc>
          <w:tcPr>
            <w:tcW w:w="2056" w:type="dxa"/>
            <w:vMerge w:val="restart"/>
            <w:tcBorders>
              <w:top w:val="single" w:color="000000" w:sz="4" w:space="0"/>
              <w:left w:val="single" w:color="000000" w:sz="4" w:space="0"/>
              <w:right w:val="single" w:color="000000" w:sz="4" w:space="0"/>
            </w:tcBorders>
            <w:shd w:val="clear" w:color="auto" w:fill="auto"/>
            <w:vAlign w:val="center"/>
          </w:tcPr>
          <w:p w14:paraId="214033B1">
            <w:pPr>
              <w:widowControl/>
              <w:jc w:val="center"/>
              <w:textAlignment w:val="center"/>
              <w:rPr>
                <w:rFonts w:ascii="仿宋" w:hAnsi="仿宋" w:eastAsia="仿宋" w:cs="仿宋"/>
                <w:color w:val="000000"/>
              </w:rPr>
            </w:pPr>
            <w:r>
              <w:rPr>
                <w:rFonts w:hint="eastAsia" w:ascii="仿宋" w:hAnsi="仿宋" w:eastAsia="仿宋" w:cs="仿宋"/>
                <w:b/>
                <w:bCs/>
                <w:spacing w:val="-12"/>
                <w:lang w:val="en-US" w:eastAsia="zh-CN"/>
              </w:rPr>
              <w:t>5G技术参数要求</w:t>
            </w:r>
          </w:p>
        </w:tc>
        <w:tc>
          <w:tcPr>
            <w:tcW w:w="71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4DC69">
            <w:pPr>
              <w:widowControl/>
              <w:textAlignment w:val="bottom"/>
              <w:rPr>
                <w:rFonts w:hint="eastAsia" w:ascii="Times New Roman" w:hAnsi="Times New Roman" w:eastAsia="仿宋" w:cs="Times New Roman"/>
                <w:kern w:val="0"/>
                <w:sz w:val="22"/>
                <w:szCs w:val="22"/>
                <w:lang w:val="en-US" w:eastAsia="zh-CN" w:bidi="ar-SA"/>
              </w:rPr>
            </w:pPr>
            <w:r>
              <w:rPr>
                <w:rFonts w:hint="eastAsia" w:ascii="Times New Roman" w:hAnsi="Times New Roman" w:eastAsia="仿宋" w:cs="Times New Roman"/>
                <w:kern w:val="0"/>
                <w:sz w:val="22"/>
                <w:szCs w:val="22"/>
                <w:lang w:val="en-US" w:eastAsia="zh-CN" w:bidi="ar-SA"/>
              </w:rPr>
              <w:t>1、依据运营商网络通信安全要求，建立5G网络到雅安市人民医院内网（采集服务器后台、DNC服务及MOM服务）的通信链路，5G网络通道运营商专用；</w:t>
            </w:r>
          </w:p>
        </w:tc>
      </w:tr>
      <w:tr w14:paraId="14C9F0DB">
        <w:tblPrEx>
          <w:tblCellMar>
            <w:top w:w="0" w:type="dxa"/>
            <w:left w:w="108" w:type="dxa"/>
            <w:bottom w:w="0" w:type="dxa"/>
            <w:right w:w="108" w:type="dxa"/>
          </w:tblCellMar>
        </w:tblPrEx>
        <w:trPr>
          <w:trHeight w:val="274" w:hRule="atLeast"/>
          <w:jc w:val="center"/>
        </w:trPr>
        <w:tc>
          <w:tcPr>
            <w:tcW w:w="716" w:type="dxa"/>
            <w:vMerge w:val="continue"/>
            <w:tcBorders>
              <w:left w:val="single" w:color="000000" w:sz="4" w:space="0"/>
              <w:right w:val="single" w:color="000000" w:sz="4" w:space="0"/>
            </w:tcBorders>
            <w:shd w:val="clear" w:color="auto" w:fill="auto"/>
            <w:vAlign w:val="center"/>
          </w:tcPr>
          <w:p w14:paraId="58FDF81E">
            <w:pPr>
              <w:widowControl/>
              <w:jc w:val="center"/>
              <w:textAlignment w:val="bottom"/>
              <w:rPr>
                <w:rFonts w:ascii="仿宋" w:hAnsi="仿宋" w:eastAsia="仿宋" w:cs="仿宋"/>
                <w:color w:val="000000"/>
              </w:rPr>
            </w:pPr>
          </w:p>
        </w:tc>
        <w:tc>
          <w:tcPr>
            <w:tcW w:w="2056" w:type="dxa"/>
            <w:vMerge w:val="continue"/>
            <w:tcBorders>
              <w:left w:val="single" w:color="000000" w:sz="4" w:space="0"/>
              <w:right w:val="single" w:color="000000" w:sz="4" w:space="0"/>
            </w:tcBorders>
            <w:shd w:val="clear" w:color="auto" w:fill="auto"/>
            <w:vAlign w:val="center"/>
          </w:tcPr>
          <w:p w14:paraId="48949EB2">
            <w:pPr>
              <w:widowControl/>
              <w:textAlignment w:val="center"/>
              <w:rPr>
                <w:rFonts w:ascii="仿宋" w:hAnsi="仿宋" w:eastAsia="仿宋" w:cs="仿宋"/>
                <w:color w:val="000000"/>
              </w:rPr>
            </w:pPr>
          </w:p>
        </w:tc>
        <w:tc>
          <w:tcPr>
            <w:tcW w:w="71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3B2D8">
            <w:pPr>
              <w:numPr>
                <w:ilvl w:val="0"/>
                <w:numId w:val="0"/>
              </w:numPr>
              <w:rPr>
                <w:rFonts w:hint="eastAsia" w:ascii="Times New Roman" w:hAnsi="Times New Roman" w:eastAsia="仿宋" w:cs="Times New Roman"/>
                <w:kern w:val="0"/>
                <w:sz w:val="22"/>
                <w:szCs w:val="22"/>
                <w:lang w:val="en-US" w:eastAsia="zh-CN" w:bidi="ar-SA"/>
              </w:rPr>
            </w:pPr>
            <w:r>
              <w:rPr>
                <w:rFonts w:hint="eastAsia" w:ascii="Times New Roman" w:hAnsi="Times New Roman" w:eastAsia="仿宋" w:cs="Times New Roman"/>
                <w:kern w:val="0"/>
                <w:sz w:val="22"/>
                <w:szCs w:val="22"/>
                <w:lang w:val="en-US" w:eastAsia="zh-CN" w:bidi="ar-SA"/>
              </w:rPr>
              <w:t>2、支持在全国/全省/全市范围内通信</w:t>
            </w:r>
          </w:p>
        </w:tc>
      </w:tr>
      <w:tr w14:paraId="25C9B314">
        <w:tblPrEx>
          <w:tblCellMar>
            <w:top w:w="0" w:type="dxa"/>
            <w:left w:w="108" w:type="dxa"/>
            <w:bottom w:w="0" w:type="dxa"/>
            <w:right w:w="108" w:type="dxa"/>
          </w:tblCellMar>
        </w:tblPrEx>
        <w:trPr>
          <w:trHeight w:val="416" w:hRule="atLeast"/>
          <w:jc w:val="center"/>
        </w:trPr>
        <w:tc>
          <w:tcPr>
            <w:tcW w:w="716" w:type="dxa"/>
            <w:vMerge w:val="continue"/>
            <w:tcBorders>
              <w:left w:val="single" w:color="000000" w:sz="4" w:space="0"/>
              <w:right w:val="single" w:color="000000" w:sz="4" w:space="0"/>
            </w:tcBorders>
            <w:shd w:val="clear" w:color="auto" w:fill="auto"/>
            <w:vAlign w:val="center"/>
          </w:tcPr>
          <w:p w14:paraId="18733979">
            <w:pPr>
              <w:widowControl/>
              <w:jc w:val="center"/>
              <w:textAlignment w:val="bottom"/>
              <w:rPr>
                <w:rFonts w:ascii="仿宋" w:hAnsi="仿宋" w:eastAsia="仿宋" w:cs="仿宋"/>
                <w:color w:val="000000"/>
              </w:rPr>
            </w:pPr>
          </w:p>
        </w:tc>
        <w:tc>
          <w:tcPr>
            <w:tcW w:w="2056" w:type="dxa"/>
            <w:vMerge w:val="continue"/>
            <w:tcBorders>
              <w:left w:val="single" w:color="000000" w:sz="4" w:space="0"/>
              <w:right w:val="single" w:color="000000" w:sz="4" w:space="0"/>
            </w:tcBorders>
            <w:shd w:val="clear" w:color="auto" w:fill="auto"/>
            <w:vAlign w:val="center"/>
          </w:tcPr>
          <w:p w14:paraId="43476421">
            <w:pPr>
              <w:widowControl/>
              <w:textAlignment w:val="center"/>
              <w:rPr>
                <w:rFonts w:ascii="仿宋" w:hAnsi="仿宋" w:eastAsia="仿宋" w:cs="仿宋"/>
                <w:color w:val="000000"/>
              </w:rPr>
            </w:pPr>
          </w:p>
        </w:tc>
        <w:tc>
          <w:tcPr>
            <w:tcW w:w="71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DE4CF">
            <w:pPr>
              <w:widowControl/>
              <w:textAlignment w:val="bottom"/>
              <w:rPr>
                <w:rFonts w:hint="eastAsia" w:ascii="Times New Roman" w:hAnsi="Times New Roman" w:eastAsia="仿宋" w:cs="Times New Roman"/>
                <w:kern w:val="0"/>
                <w:sz w:val="22"/>
                <w:szCs w:val="22"/>
                <w:lang w:val="en-US" w:eastAsia="zh-CN" w:bidi="ar-SA"/>
              </w:rPr>
            </w:pPr>
            <w:r>
              <w:rPr>
                <w:rFonts w:hint="eastAsia" w:ascii="Times New Roman" w:hAnsi="Times New Roman" w:eastAsia="仿宋" w:cs="Times New Roman"/>
                <w:kern w:val="0"/>
                <w:sz w:val="22"/>
                <w:szCs w:val="22"/>
                <w:lang w:val="en-US" w:eastAsia="zh-CN" w:bidi="ar-SA"/>
              </w:rPr>
              <w:t>3、DNN专线带宽/UPF分流带宽：专网通道：大于50M；</w:t>
            </w:r>
          </w:p>
        </w:tc>
      </w:tr>
      <w:tr w14:paraId="24897F9E">
        <w:tblPrEx>
          <w:tblCellMar>
            <w:top w:w="0" w:type="dxa"/>
            <w:left w:w="108" w:type="dxa"/>
            <w:bottom w:w="0" w:type="dxa"/>
            <w:right w:w="108" w:type="dxa"/>
          </w:tblCellMar>
        </w:tblPrEx>
        <w:trPr>
          <w:trHeight w:val="416" w:hRule="atLeast"/>
          <w:jc w:val="center"/>
        </w:trPr>
        <w:tc>
          <w:tcPr>
            <w:tcW w:w="716" w:type="dxa"/>
            <w:vMerge w:val="continue"/>
            <w:tcBorders>
              <w:left w:val="single" w:color="000000" w:sz="4" w:space="0"/>
              <w:right w:val="single" w:color="000000" w:sz="4" w:space="0"/>
            </w:tcBorders>
            <w:shd w:val="clear" w:color="auto" w:fill="auto"/>
            <w:vAlign w:val="center"/>
          </w:tcPr>
          <w:p w14:paraId="3F36A140">
            <w:pPr>
              <w:widowControl/>
              <w:jc w:val="center"/>
              <w:textAlignment w:val="bottom"/>
              <w:rPr>
                <w:rFonts w:ascii="仿宋" w:hAnsi="仿宋" w:eastAsia="仿宋" w:cs="仿宋"/>
                <w:color w:val="000000"/>
              </w:rPr>
            </w:pPr>
          </w:p>
        </w:tc>
        <w:tc>
          <w:tcPr>
            <w:tcW w:w="2056" w:type="dxa"/>
            <w:vMerge w:val="continue"/>
            <w:tcBorders>
              <w:left w:val="single" w:color="000000" w:sz="4" w:space="0"/>
              <w:right w:val="single" w:color="000000" w:sz="4" w:space="0"/>
            </w:tcBorders>
            <w:shd w:val="clear" w:color="auto" w:fill="auto"/>
            <w:vAlign w:val="center"/>
          </w:tcPr>
          <w:p w14:paraId="6E2DE5EF">
            <w:pPr>
              <w:widowControl/>
              <w:textAlignment w:val="center"/>
              <w:rPr>
                <w:rFonts w:ascii="仿宋" w:hAnsi="仿宋" w:eastAsia="仿宋" w:cs="仿宋"/>
                <w:color w:val="000000"/>
              </w:rPr>
            </w:pPr>
          </w:p>
        </w:tc>
        <w:tc>
          <w:tcPr>
            <w:tcW w:w="71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B1CEE">
            <w:pPr>
              <w:widowControl/>
              <w:textAlignment w:val="bottom"/>
              <w:rPr>
                <w:rFonts w:hint="eastAsia" w:ascii="Times New Roman" w:hAnsi="Times New Roman" w:eastAsia="仿宋" w:cs="Times New Roman"/>
                <w:kern w:val="0"/>
                <w:sz w:val="22"/>
                <w:szCs w:val="22"/>
                <w:lang w:val="en-US" w:eastAsia="zh-CN" w:bidi="ar-SA"/>
              </w:rPr>
            </w:pPr>
            <w:r>
              <w:rPr>
                <w:rFonts w:hint="eastAsia" w:ascii="Times New Roman" w:hAnsi="Times New Roman" w:eastAsia="仿宋" w:cs="Times New Roman"/>
                <w:kern w:val="0"/>
                <w:sz w:val="22"/>
                <w:szCs w:val="22"/>
                <w:lang w:val="en-US" w:eastAsia="zh-CN" w:bidi="ar-SA"/>
              </w:rPr>
              <w:t>4、提供不小于3年期的专网流量卡使用权，根据数据量和频率选择合适的流量套餐，流量：不低于10G/年/条；</w:t>
            </w:r>
          </w:p>
        </w:tc>
      </w:tr>
      <w:tr w14:paraId="490C0013">
        <w:tblPrEx>
          <w:tblCellMar>
            <w:top w:w="0" w:type="dxa"/>
            <w:left w:w="108" w:type="dxa"/>
            <w:bottom w:w="0" w:type="dxa"/>
            <w:right w:w="108" w:type="dxa"/>
          </w:tblCellMar>
        </w:tblPrEx>
        <w:trPr>
          <w:trHeight w:val="413" w:hRule="atLeast"/>
          <w:jc w:val="center"/>
        </w:trPr>
        <w:tc>
          <w:tcPr>
            <w:tcW w:w="716" w:type="dxa"/>
            <w:vMerge w:val="continue"/>
            <w:tcBorders>
              <w:left w:val="single" w:color="000000" w:sz="4" w:space="0"/>
              <w:right w:val="single" w:color="000000" w:sz="4" w:space="0"/>
            </w:tcBorders>
            <w:shd w:val="clear" w:color="auto" w:fill="auto"/>
            <w:vAlign w:val="center"/>
          </w:tcPr>
          <w:p w14:paraId="57101ABD">
            <w:pPr>
              <w:widowControl/>
              <w:jc w:val="center"/>
              <w:textAlignment w:val="bottom"/>
              <w:rPr>
                <w:rFonts w:ascii="仿宋" w:hAnsi="仿宋" w:eastAsia="仿宋" w:cs="仿宋"/>
                <w:color w:val="000000"/>
              </w:rPr>
            </w:pPr>
          </w:p>
        </w:tc>
        <w:tc>
          <w:tcPr>
            <w:tcW w:w="2056" w:type="dxa"/>
            <w:vMerge w:val="continue"/>
            <w:tcBorders>
              <w:left w:val="single" w:color="000000" w:sz="4" w:space="0"/>
              <w:right w:val="single" w:color="000000" w:sz="4" w:space="0"/>
            </w:tcBorders>
            <w:shd w:val="clear" w:color="auto" w:fill="auto"/>
            <w:vAlign w:val="center"/>
          </w:tcPr>
          <w:p w14:paraId="373D8613">
            <w:pPr>
              <w:widowControl/>
              <w:textAlignment w:val="center"/>
              <w:rPr>
                <w:rFonts w:ascii="仿宋" w:hAnsi="仿宋" w:eastAsia="仿宋" w:cs="仿宋"/>
                <w:color w:val="000000"/>
              </w:rPr>
            </w:pPr>
          </w:p>
        </w:tc>
        <w:tc>
          <w:tcPr>
            <w:tcW w:w="71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15D1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 w:cs="Times New Roman"/>
                <w:kern w:val="0"/>
                <w:sz w:val="22"/>
                <w:szCs w:val="22"/>
                <w:lang w:val="en-US" w:eastAsia="zh-CN" w:bidi="ar-SA"/>
              </w:rPr>
            </w:pPr>
            <w:r>
              <w:rPr>
                <w:rFonts w:hint="eastAsia" w:ascii="Times New Roman" w:hAnsi="Times New Roman" w:eastAsia="仿宋" w:cs="Times New Roman"/>
                <w:kern w:val="0"/>
                <w:sz w:val="22"/>
                <w:szCs w:val="22"/>
                <w:lang w:val="en-US" w:eastAsia="zh-CN" w:bidi="ar-SA"/>
              </w:rPr>
              <w:t>5、支持并兼容4G；</w:t>
            </w:r>
          </w:p>
        </w:tc>
      </w:tr>
      <w:tr w14:paraId="5BE30344">
        <w:tblPrEx>
          <w:tblCellMar>
            <w:top w:w="0" w:type="dxa"/>
            <w:left w:w="108" w:type="dxa"/>
            <w:bottom w:w="0" w:type="dxa"/>
            <w:right w:w="108" w:type="dxa"/>
          </w:tblCellMar>
        </w:tblPrEx>
        <w:trPr>
          <w:trHeight w:val="365" w:hRule="atLeast"/>
          <w:jc w:val="center"/>
        </w:trPr>
        <w:tc>
          <w:tcPr>
            <w:tcW w:w="716" w:type="dxa"/>
            <w:vMerge w:val="restart"/>
            <w:tcBorders>
              <w:top w:val="single" w:color="000000" w:sz="4" w:space="0"/>
              <w:left w:val="single" w:color="000000" w:sz="4" w:space="0"/>
              <w:right w:val="single" w:color="000000" w:sz="4" w:space="0"/>
            </w:tcBorders>
            <w:shd w:val="clear" w:color="auto" w:fill="auto"/>
            <w:vAlign w:val="center"/>
          </w:tcPr>
          <w:p w14:paraId="67C4D0FB">
            <w:pPr>
              <w:widowControl/>
              <w:jc w:val="center"/>
              <w:textAlignment w:val="bottom"/>
              <w:rPr>
                <w:rFonts w:hint="eastAsia" w:ascii="仿宋" w:hAnsi="仿宋" w:eastAsia="仿宋" w:cs="仿宋"/>
                <w:color w:val="000000"/>
                <w:lang w:val="en-US" w:eastAsia="zh-CN"/>
              </w:rPr>
            </w:pPr>
            <w:r>
              <w:rPr>
                <w:rFonts w:hint="eastAsia" w:ascii="仿宋" w:hAnsi="仿宋" w:eastAsia="仿宋" w:cs="仿宋"/>
                <w:color w:val="000000"/>
                <w:lang w:val="en-US" w:eastAsia="zh-CN"/>
              </w:rPr>
              <w:t>2</w:t>
            </w:r>
          </w:p>
        </w:tc>
        <w:tc>
          <w:tcPr>
            <w:tcW w:w="2056" w:type="dxa"/>
            <w:vMerge w:val="restart"/>
            <w:tcBorders>
              <w:top w:val="single" w:color="000000" w:sz="4" w:space="0"/>
              <w:left w:val="single" w:color="000000" w:sz="4" w:space="0"/>
              <w:right w:val="single" w:color="000000" w:sz="4" w:space="0"/>
            </w:tcBorders>
            <w:shd w:val="clear" w:color="auto" w:fill="auto"/>
            <w:vAlign w:val="center"/>
          </w:tcPr>
          <w:p w14:paraId="108540A3">
            <w:pPr>
              <w:widowControl/>
              <w:jc w:val="center"/>
              <w:textAlignment w:val="center"/>
              <w:rPr>
                <w:rFonts w:hint="default" w:ascii="仿宋" w:hAnsi="仿宋" w:eastAsia="仿宋" w:cs="仿宋"/>
                <w:color w:val="000000"/>
                <w:lang w:val="en-US" w:eastAsia="zh-CN"/>
              </w:rPr>
            </w:pPr>
            <w:r>
              <w:rPr>
                <w:rFonts w:hint="eastAsia" w:ascii="仿宋" w:hAnsi="仿宋" w:eastAsia="仿宋" w:cs="仿宋"/>
                <w:b/>
                <w:bCs/>
                <w:spacing w:val="-12"/>
                <w:lang w:val="en-US" w:eastAsia="zh-CN"/>
              </w:rPr>
              <w:t>物联网管理平台服务要求</w:t>
            </w:r>
          </w:p>
        </w:tc>
        <w:tc>
          <w:tcPr>
            <w:tcW w:w="71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09F7B">
            <w:pPr>
              <w:widowControl/>
              <w:textAlignment w:val="bottom"/>
              <w:rPr>
                <w:rFonts w:hint="default" w:ascii="Times New Roman" w:hAnsi="Times New Roman" w:eastAsia="仿宋" w:cs="Times New Roman"/>
                <w:kern w:val="0"/>
                <w:sz w:val="22"/>
                <w:szCs w:val="22"/>
                <w:lang w:val="en-US" w:eastAsia="zh-CN" w:bidi="ar-SA"/>
              </w:rPr>
            </w:pPr>
            <w:r>
              <w:rPr>
                <w:rFonts w:hint="eastAsia" w:ascii="Times New Roman" w:hAnsi="Times New Roman" w:eastAsia="仿宋" w:cs="Times New Roman"/>
                <w:kern w:val="0"/>
                <w:sz w:val="22"/>
                <w:szCs w:val="22"/>
                <w:lang w:val="en-US" w:eastAsia="zh-CN" w:bidi="ar-SA"/>
              </w:rPr>
              <w:t>1.支持根据相应业务模式，在生产、测试、销售、使用、维修等方面提供对应的设备状态管理功能，可匹配从设备出厂到最终停止使用各个环节的计费/续约等各环节；</w:t>
            </w:r>
          </w:p>
        </w:tc>
      </w:tr>
      <w:tr w14:paraId="04F5A28F">
        <w:tblPrEx>
          <w:tblCellMar>
            <w:top w:w="0" w:type="dxa"/>
            <w:left w:w="108" w:type="dxa"/>
            <w:bottom w:w="0" w:type="dxa"/>
            <w:right w:w="108" w:type="dxa"/>
          </w:tblCellMar>
        </w:tblPrEx>
        <w:trPr>
          <w:trHeight w:val="365" w:hRule="atLeast"/>
          <w:jc w:val="center"/>
        </w:trPr>
        <w:tc>
          <w:tcPr>
            <w:tcW w:w="716" w:type="dxa"/>
            <w:vMerge w:val="continue"/>
            <w:tcBorders>
              <w:left w:val="single" w:color="000000" w:sz="4" w:space="0"/>
              <w:right w:val="single" w:color="000000" w:sz="4" w:space="0"/>
            </w:tcBorders>
            <w:shd w:val="clear" w:color="auto" w:fill="auto"/>
            <w:vAlign w:val="center"/>
          </w:tcPr>
          <w:p w14:paraId="4AB8D8EE">
            <w:pPr>
              <w:widowControl/>
              <w:jc w:val="center"/>
              <w:textAlignment w:val="bottom"/>
              <w:rPr>
                <w:rFonts w:hint="eastAsia" w:ascii="仿宋" w:hAnsi="仿宋" w:eastAsia="仿宋" w:cs="仿宋"/>
                <w:color w:val="000000"/>
                <w:lang w:val="en-US" w:eastAsia="zh-CN"/>
              </w:rPr>
            </w:pPr>
          </w:p>
        </w:tc>
        <w:tc>
          <w:tcPr>
            <w:tcW w:w="2056" w:type="dxa"/>
            <w:vMerge w:val="continue"/>
            <w:tcBorders>
              <w:left w:val="single" w:color="000000" w:sz="4" w:space="0"/>
              <w:right w:val="single" w:color="000000" w:sz="4" w:space="0"/>
            </w:tcBorders>
            <w:shd w:val="clear" w:color="auto" w:fill="auto"/>
            <w:vAlign w:val="center"/>
          </w:tcPr>
          <w:p w14:paraId="3DF503A5">
            <w:pPr>
              <w:widowControl/>
              <w:jc w:val="center"/>
              <w:textAlignment w:val="center"/>
              <w:rPr>
                <w:rFonts w:hint="eastAsia"/>
                <w:sz w:val="28"/>
                <w:szCs w:val="28"/>
                <w:lang w:val="en-US" w:eastAsia="zh-CN"/>
              </w:rPr>
            </w:pPr>
          </w:p>
        </w:tc>
        <w:tc>
          <w:tcPr>
            <w:tcW w:w="71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6FD6B">
            <w:pPr>
              <w:widowControl/>
              <w:textAlignment w:val="bottom"/>
              <w:rPr>
                <w:rFonts w:hint="eastAsia" w:ascii="Times New Roman" w:hAnsi="Times New Roman" w:eastAsia="仿宋" w:cs="Times New Roman"/>
                <w:kern w:val="0"/>
                <w:sz w:val="22"/>
                <w:szCs w:val="22"/>
                <w:lang w:val="en-US" w:eastAsia="zh-CN" w:bidi="ar-SA"/>
              </w:rPr>
            </w:pPr>
            <w:r>
              <w:rPr>
                <w:rFonts w:hint="eastAsia" w:ascii="Times New Roman" w:hAnsi="Times New Roman" w:eastAsia="仿宋" w:cs="Times New Roman"/>
                <w:kern w:val="0"/>
                <w:sz w:val="22"/>
                <w:szCs w:val="22"/>
                <w:lang w:val="en-US" w:eastAsia="zh-CN" w:bidi="ar-SA"/>
              </w:rPr>
              <w:t>2.支持追加号卡、修改套餐等自助服务</w:t>
            </w:r>
          </w:p>
        </w:tc>
      </w:tr>
      <w:tr w14:paraId="6282AB37">
        <w:tblPrEx>
          <w:tblCellMar>
            <w:top w:w="0" w:type="dxa"/>
            <w:left w:w="108" w:type="dxa"/>
            <w:bottom w:w="0" w:type="dxa"/>
            <w:right w:w="108" w:type="dxa"/>
          </w:tblCellMar>
        </w:tblPrEx>
        <w:trPr>
          <w:trHeight w:val="90" w:hRule="atLeast"/>
          <w:jc w:val="center"/>
        </w:trPr>
        <w:tc>
          <w:tcPr>
            <w:tcW w:w="716" w:type="dxa"/>
            <w:vMerge w:val="continue"/>
            <w:tcBorders>
              <w:left w:val="single" w:color="000000" w:sz="4" w:space="0"/>
              <w:right w:val="single" w:color="000000" w:sz="4" w:space="0"/>
            </w:tcBorders>
            <w:shd w:val="clear" w:color="auto" w:fill="auto"/>
            <w:vAlign w:val="center"/>
          </w:tcPr>
          <w:p w14:paraId="3B74366A">
            <w:pPr>
              <w:widowControl/>
              <w:jc w:val="center"/>
              <w:textAlignment w:val="bottom"/>
              <w:rPr>
                <w:rFonts w:hint="eastAsia" w:ascii="仿宋" w:hAnsi="仿宋" w:eastAsia="仿宋" w:cs="仿宋"/>
                <w:color w:val="000000"/>
                <w:lang w:val="en-US" w:eastAsia="zh-CN"/>
              </w:rPr>
            </w:pPr>
          </w:p>
        </w:tc>
        <w:tc>
          <w:tcPr>
            <w:tcW w:w="2056" w:type="dxa"/>
            <w:vMerge w:val="continue"/>
            <w:tcBorders>
              <w:left w:val="single" w:color="000000" w:sz="4" w:space="0"/>
              <w:right w:val="single" w:color="000000" w:sz="4" w:space="0"/>
            </w:tcBorders>
            <w:shd w:val="clear" w:color="auto" w:fill="auto"/>
            <w:vAlign w:val="center"/>
          </w:tcPr>
          <w:p w14:paraId="11184DA2">
            <w:pPr>
              <w:widowControl/>
              <w:jc w:val="center"/>
              <w:textAlignment w:val="center"/>
              <w:rPr>
                <w:rFonts w:hint="eastAsia"/>
                <w:sz w:val="28"/>
                <w:szCs w:val="28"/>
                <w:lang w:val="en-US" w:eastAsia="zh-CN"/>
              </w:rPr>
            </w:pPr>
          </w:p>
        </w:tc>
        <w:tc>
          <w:tcPr>
            <w:tcW w:w="71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CDEB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 w:cs="Times New Roman"/>
                <w:kern w:val="0"/>
                <w:sz w:val="22"/>
                <w:szCs w:val="22"/>
                <w:lang w:val="en-US" w:eastAsia="zh-CN" w:bidi="ar-SA"/>
              </w:rPr>
            </w:pPr>
            <w:r>
              <w:rPr>
                <w:rFonts w:hint="eastAsia" w:ascii="Times New Roman" w:hAnsi="Times New Roman" w:eastAsia="仿宋" w:cs="Times New Roman"/>
                <w:kern w:val="0"/>
                <w:sz w:val="22"/>
                <w:szCs w:val="22"/>
                <w:lang w:val="en-US" w:eastAsia="zh-CN" w:bidi="ar-SA"/>
              </w:rPr>
              <w:t>3.支持资费灵活切换，变更计费，并立即生效。</w:t>
            </w:r>
          </w:p>
        </w:tc>
      </w:tr>
      <w:tr w14:paraId="60C501C5">
        <w:tblPrEx>
          <w:tblCellMar>
            <w:top w:w="0" w:type="dxa"/>
            <w:left w:w="108" w:type="dxa"/>
            <w:bottom w:w="0" w:type="dxa"/>
            <w:right w:w="108" w:type="dxa"/>
          </w:tblCellMar>
        </w:tblPrEx>
        <w:trPr>
          <w:trHeight w:val="1643" w:hRule="atLeast"/>
          <w:jc w:val="center"/>
        </w:trPr>
        <w:tc>
          <w:tcPr>
            <w:tcW w:w="716" w:type="dxa"/>
            <w:vMerge w:val="continue"/>
            <w:tcBorders>
              <w:left w:val="single" w:color="000000" w:sz="4" w:space="0"/>
              <w:right w:val="single" w:color="000000" w:sz="4" w:space="0"/>
            </w:tcBorders>
            <w:shd w:val="clear" w:color="auto" w:fill="auto"/>
            <w:vAlign w:val="center"/>
          </w:tcPr>
          <w:p w14:paraId="78C80A7E">
            <w:pPr>
              <w:keepNext w:val="0"/>
              <w:keepLines w:val="0"/>
              <w:pageBreakBefore w:val="0"/>
              <w:widowControl w:val="0"/>
              <w:kinsoku/>
              <w:wordWrap/>
              <w:overflowPunct/>
              <w:topLinePunct w:val="0"/>
              <w:autoSpaceDE/>
              <w:autoSpaceDN/>
              <w:bidi w:val="0"/>
              <w:adjustRightInd/>
              <w:snapToGrid/>
              <w:spacing w:line="360" w:lineRule="auto"/>
              <w:textAlignment w:val="auto"/>
            </w:pPr>
          </w:p>
        </w:tc>
        <w:tc>
          <w:tcPr>
            <w:tcW w:w="2056" w:type="dxa"/>
            <w:vMerge w:val="continue"/>
            <w:tcBorders>
              <w:left w:val="single" w:color="000000" w:sz="4" w:space="0"/>
              <w:right w:val="single" w:color="000000" w:sz="4" w:space="0"/>
            </w:tcBorders>
            <w:shd w:val="clear" w:color="auto" w:fill="auto"/>
            <w:vAlign w:val="center"/>
          </w:tcPr>
          <w:p w14:paraId="3EB202B1">
            <w:pPr>
              <w:keepNext w:val="0"/>
              <w:keepLines w:val="0"/>
              <w:pageBreakBefore w:val="0"/>
              <w:widowControl w:val="0"/>
              <w:kinsoku/>
              <w:wordWrap/>
              <w:overflowPunct/>
              <w:topLinePunct w:val="0"/>
              <w:autoSpaceDE/>
              <w:autoSpaceDN/>
              <w:bidi w:val="0"/>
              <w:adjustRightInd/>
              <w:snapToGrid/>
              <w:spacing w:line="360" w:lineRule="auto"/>
              <w:textAlignment w:val="auto"/>
            </w:pPr>
          </w:p>
        </w:tc>
        <w:tc>
          <w:tcPr>
            <w:tcW w:w="71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4B39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 w:cs="Times New Roman"/>
                <w:kern w:val="0"/>
                <w:sz w:val="22"/>
                <w:szCs w:val="22"/>
                <w:lang w:val="en-US" w:eastAsia="zh-CN" w:bidi="ar-SA"/>
              </w:rPr>
            </w:pPr>
            <w:r>
              <w:rPr>
                <w:rFonts w:hint="eastAsia" w:ascii="Times New Roman" w:hAnsi="Times New Roman" w:eastAsia="仿宋" w:cs="Times New Roman"/>
                <w:kern w:val="0"/>
                <w:sz w:val="22"/>
                <w:szCs w:val="22"/>
                <w:lang w:val="en-US" w:eastAsia="zh-CN" w:bidi="ar-SA"/>
              </w:rPr>
              <w:t>4.支持通过平台应用提供快速的自定义规则设置功能，即通过平台控制中心界面，设置设备监控规则，并在特定的触发条件发生时，自动采取适当的策略。例如，可通过平台设置规则：在特定时间段，如设备连接过于频繁，则禁用该SIM卡；或者资费套餐到期时，自动通知。可依托于规则引擎能力，实现资费套餐的自动化、最优化调整；监控整体设备的用量情况；监控状态异常的终端；实现资产管理。</w:t>
            </w:r>
          </w:p>
        </w:tc>
      </w:tr>
      <w:tr w14:paraId="6DEB59AA">
        <w:tblPrEx>
          <w:tblCellMar>
            <w:top w:w="0" w:type="dxa"/>
            <w:left w:w="108" w:type="dxa"/>
            <w:bottom w:w="0" w:type="dxa"/>
            <w:right w:w="108" w:type="dxa"/>
          </w:tblCellMar>
        </w:tblPrEx>
        <w:trPr>
          <w:trHeight w:val="365" w:hRule="atLeast"/>
          <w:jc w:val="center"/>
        </w:trPr>
        <w:tc>
          <w:tcPr>
            <w:tcW w:w="716" w:type="dxa"/>
            <w:vMerge w:val="continue"/>
            <w:tcBorders>
              <w:left w:val="single" w:color="000000" w:sz="4" w:space="0"/>
              <w:right w:val="single" w:color="000000" w:sz="4" w:space="0"/>
            </w:tcBorders>
            <w:shd w:val="clear" w:color="auto" w:fill="auto"/>
            <w:vAlign w:val="center"/>
          </w:tcPr>
          <w:p w14:paraId="3590D415">
            <w:pPr>
              <w:widowControl/>
              <w:jc w:val="center"/>
              <w:textAlignment w:val="bottom"/>
              <w:rPr>
                <w:rFonts w:hint="eastAsia" w:ascii="仿宋" w:hAnsi="仿宋" w:eastAsia="仿宋" w:cs="仿宋"/>
                <w:color w:val="000000"/>
                <w:lang w:val="en-US" w:eastAsia="zh-CN"/>
              </w:rPr>
            </w:pPr>
          </w:p>
        </w:tc>
        <w:tc>
          <w:tcPr>
            <w:tcW w:w="2056" w:type="dxa"/>
            <w:vMerge w:val="continue"/>
            <w:tcBorders>
              <w:left w:val="single" w:color="000000" w:sz="4" w:space="0"/>
              <w:right w:val="single" w:color="000000" w:sz="4" w:space="0"/>
            </w:tcBorders>
            <w:shd w:val="clear" w:color="auto" w:fill="auto"/>
            <w:vAlign w:val="center"/>
          </w:tcPr>
          <w:p w14:paraId="7D443D69">
            <w:pPr>
              <w:widowControl/>
              <w:jc w:val="center"/>
              <w:textAlignment w:val="center"/>
              <w:rPr>
                <w:rFonts w:hint="eastAsia"/>
                <w:sz w:val="28"/>
                <w:szCs w:val="28"/>
                <w:lang w:val="en-US" w:eastAsia="zh-CN"/>
              </w:rPr>
            </w:pPr>
          </w:p>
        </w:tc>
        <w:tc>
          <w:tcPr>
            <w:tcW w:w="71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EB22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 w:cs="Times New Roman"/>
                <w:kern w:val="0"/>
                <w:sz w:val="22"/>
                <w:szCs w:val="22"/>
                <w:lang w:val="en-US" w:eastAsia="zh-CN" w:bidi="ar-SA"/>
              </w:rPr>
            </w:pPr>
            <w:r>
              <w:rPr>
                <w:rFonts w:hint="eastAsia" w:ascii="Times New Roman" w:hAnsi="Times New Roman" w:eastAsia="仿宋" w:cs="Times New Roman"/>
                <w:kern w:val="0"/>
                <w:sz w:val="22"/>
                <w:szCs w:val="22"/>
                <w:lang w:val="en-US" w:eastAsia="zh-CN" w:bidi="ar-SA"/>
              </w:rPr>
              <w:t>5.支持提供session、短信、卡状态变更泳道图，根据组织架构开展自主运营管理工作，同步通过自主诊断能力开展故障预判。</w:t>
            </w:r>
          </w:p>
        </w:tc>
      </w:tr>
      <w:tr w14:paraId="31094912">
        <w:tblPrEx>
          <w:tblCellMar>
            <w:top w:w="0" w:type="dxa"/>
            <w:left w:w="108" w:type="dxa"/>
            <w:bottom w:w="0" w:type="dxa"/>
            <w:right w:w="108" w:type="dxa"/>
          </w:tblCellMar>
        </w:tblPrEx>
        <w:trPr>
          <w:trHeight w:val="365" w:hRule="atLeast"/>
          <w:jc w:val="center"/>
        </w:trPr>
        <w:tc>
          <w:tcPr>
            <w:tcW w:w="716" w:type="dxa"/>
            <w:vMerge w:val="continue"/>
            <w:tcBorders>
              <w:left w:val="single" w:color="000000" w:sz="4" w:space="0"/>
              <w:right w:val="single" w:color="000000" w:sz="4" w:space="0"/>
            </w:tcBorders>
            <w:shd w:val="clear" w:color="auto" w:fill="auto"/>
            <w:vAlign w:val="center"/>
          </w:tcPr>
          <w:p w14:paraId="379E0E96">
            <w:pPr>
              <w:widowControl/>
              <w:jc w:val="center"/>
              <w:textAlignment w:val="bottom"/>
              <w:rPr>
                <w:rFonts w:hint="eastAsia" w:ascii="仿宋" w:hAnsi="仿宋" w:eastAsia="仿宋" w:cs="仿宋"/>
                <w:color w:val="000000"/>
                <w:lang w:val="en-US" w:eastAsia="zh-CN"/>
              </w:rPr>
            </w:pPr>
          </w:p>
        </w:tc>
        <w:tc>
          <w:tcPr>
            <w:tcW w:w="2056" w:type="dxa"/>
            <w:vMerge w:val="continue"/>
            <w:tcBorders>
              <w:left w:val="single" w:color="000000" w:sz="4" w:space="0"/>
              <w:right w:val="single" w:color="000000" w:sz="4" w:space="0"/>
            </w:tcBorders>
            <w:shd w:val="clear" w:color="auto" w:fill="auto"/>
            <w:vAlign w:val="center"/>
          </w:tcPr>
          <w:p w14:paraId="75712074">
            <w:pPr>
              <w:widowControl/>
              <w:jc w:val="center"/>
              <w:textAlignment w:val="center"/>
              <w:rPr>
                <w:rFonts w:hint="eastAsia"/>
                <w:sz w:val="28"/>
                <w:szCs w:val="28"/>
                <w:lang w:val="en-US" w:eastAsia="zh-CN"/>
              </w:rPr>
            </w:pPr>
          </w:p>
        </w:tc>
        <w:tc>
          <w:tcPr>
            <w:tcW w:w="71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AF9D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 w:cs="Times New Roman"/>
                <w:kern w:val="0"/>
                <w:sz w:val="22"/>
                <w:szCs w:val="22"/>
                <w:lang w:val="en-US" w:eastAsia="zh-CN" w:bidi="ar-SA"/>
              </w:rPr>
            </w:pPr>
            <w:r>
              <w:rPr>
                <w:rFonts w:hint="eastAsia" w:ascii="Times New Roman" w:hAnsi="Times New Roman" w:eastAsia="仿宋" w:cs="Times New Roman"/>
                <w:kern w:val="0"/>
                <w:sz w:val="22"/>
                <w:szCs w:val="22"/>
                <w:lang w:val="en-US" w:eastAsia="zh-CN" w:bidi="ar-SA"/>
              </w:rPr>
              <w:t>6.支持</w:t>
            </w:r>
            <w:r>
              <w:rPr>
                <w:rFonts w:hint="default" w:ascii="Times New Roman" w:hAnsi="Times New Roman" w:eastAsia="仿宋" w:cs="Times New Roman"/>
                <w:kern w:val="0"/>
                <w:sz w:val="22"/>
                <w:szCs w:val="22"/>
                <w:lang w:val="en-US" w:eastAsia="zh-CN" w:bidi="ar-SA"/>
              </w:rPr>
              <w:t>对于行为异常的设备（流量异常、频繁登网）的设备，可前置开展问题定位，前置发现功能异常终端，及时告警、返修</w:t>
            </w:r>
            <w:r>
              <w:rPr>
                <w:rFonts w:hint="eastAsia" w:ascii="Times New Roman" w:hAnsi="Times New Roman" w:eastAsia="仿宋" w:cs="Times New Roman"/>
                <w:kern w:val="0"/>
                <w:sz w:val="22"/>
                <w:szCs w:val="22"/>
                <w:lang w:val="en-US" w:eastAsia="zh-CN" w:bidi="ar-SA"/>
              </w:rPr>
              <w:t>；</w:t>
            </w:r>
            <w:r>
              <w:rPr>
                <w:rFonts w:hint="default" w:ascii="Times New Roman" w:hAnsi="Times New Roman" w:eastAsia="仿宋" w:cs="Times New Roman"/>
                <w:kern w:val="0"/>
                <w:sz w:val="22"/>
                <w:szCs w:val="22"/>
                <w:lang w:val="en-US" w:eastAsia="zh-CN" w:bidi="ar-SA"/>
              </w:rPr>
              <w:t>对于</w:t>
            </w:r>
            <w:r>
              <w:rPr>
                <w:rFonts w:hint="eastAsia" w:ascii="Times New Roman" w:hAnsi="Times New Roman" w:eastAsia="仿宋" w:cs="Times New Roman"/>
                <w:kern w:val="0"/>
                <w:sz w:val="22"/>
                <w:szCs w:val="22"/>
                <w:lang w:val="en-US" w:eastAsia="zh-CN" w:bidi="ar-SA"/>
              </w:rPr>
              <w:t>固定场景办公、</w:t>
            </w:r>
            <w:r>
              <w:rPr>
                <w:rFonts w:hint="default" w:ascii="Times New Roman" w:hAnsi="Times New Roman" w:eastAsia="仿宋" w:cs="Times New Roman"/>
                <w:kern w:val="0"/>
                <w:sz w:val="22"/>
                <w:szCs w:val="22"/>
                <w:lang w:val="en-US" w:eastAsia="zh-CN" w:bidi="ar-SA"/>
              </w:rPr>
              <w:t>有资产管理的监控场景，可位置移动触发相关告警</w:t>
            </w:r>
            <w:r>
              <w:rPr>
                <w:rFonts w:hint="eastAsia" w:ascii="Times New Roman" w:hAnsi="Times New Roman" w:eastAsia="仿宋" w:cs="Times New Roman"/>
                <w:kern w:val="0"/>
                <w:sz w:val="22"/>
                <w:szCs w:val="22"/>
                <w:lang w:val="en-US" w:eastAsia="zh-CN" w:bidi="ar-SA"/>
              </w:rPr>
              <w:t>或触发SIM卡至不可用状态</w:t>
            </w:r>
            <w:r>
              <w:rPr>
                <w:rFonts w:hint="default" w:ascii="Times New Roman" w:hAnsi="Times New Roman" w:eastAsia="仿宋" w:cs="Times New Roman"/>
                <w:kern w:val="0"/>
                <w:sz w:val="22"/>
                <w:szCs w:val="22"/>
                <w:lang w:val="en-US" w:eastAsia="zh-CN" w:bidi="ar-SA"/>
              </w:rPr>
              <w:t>，满足资产管理需求</w:t>
            </w:r>
            <w:r>
              <w:rPr>
                <w:rFonts w:hint="eastAsia" w:ascii="Times New Roman" w:hAnsi="Times New Roman" w:eastAsia="仿宋" w:cs="Times New Roman"/>
                <w:kern w:val="0"/>
                <w:sz w:val="22"/>
                <w:szCs w:val="22"/>
                <w:lang w:val="en-US" w:eastAsia="zh-CN" w:bidi="ar-SA"/>
              </w:rPr>
              <w:t>。</w:t>
            </w:r>
          </w:p>
        </w:tc>
      </w:tr>
      <w:tr w14:paraId="6235A833">
        <w:tblPrEx>
          <w:tblCellMar>
            <w:top w:w="0" w:type="dxa"/>
            <w:left w:w="108" w:type="dxa"/>
            <w:bottom w:w="0" w:type="dxa"/>
            <w:right w:w="108" w:type="dxa"/>
          </w:tblCellMar>
        </w:tblPrEx>
        <w:trPr>
          <w:trHeight w:val="365" w:hRule="atLeast"/>
          <w:jc w:val="center"/>
        </w:trPr>
        <w:tc>
          <w:tcPr>
            <w:tcW w:w="716" w:type="dxa"/>
            <w:vMerge w:val="continue"/>
            <w:tcBorders>
              <w:left w:val="single" w:color="000000" w:sz="4" w:space="0"/>
              <w:right w:val="single" w:color="000000" w:sz="4" w:space="0"/>
            </w:tcBorders>
            <w:shd w:val="clear" w:color="auto" w:fill="auto"/>
            <w:vAlign w:val="center"/>
          </w:tcPr>
          <w:p w14:paraId="73A00668">
            <w:pPr>
              <w:widowControl/>
              <w:jc w:val="center"/>
              <w:textAlignment w:val="bottom"/>
              <w:rPr>
                <w:rFonts w:hint="eastAsia" w:ascii="仿宋" w:hAnsi="仿宋" w:eastAsia="仿宋" w:cs="仿宋"/>
                <w:color w:val="000000"/>
                <w:lang w:val="en-US" w:eastAsia="zh-CN"/>
              </w:rPr>
            </w:pPr>
          </w:p>
        </w:tc>
        <w:tc>
          <w:tcPr>
            <w:tcW w:w="2056" w:type="dxa"/>
            <w:vMerge w:val="continue"/>
            <w:tcBorders>
              <w:left w:val="single" w:color="000000" w:sz="4" w:space="0"/>
              <w:right w:val="single" w:color="000000" w:sz="4" w:space="0"/>
            </w:tcBorders>
            <w:shd w:val="clear" w:color="auto" w:fill="auto"/>
            <w:vAlign w:val="center"/>
          </w:tcPr>
          <w:p w14:paraId="44DB4EC4">
            <w:pPr>
              <w:widowControl/>
              <w:jc w:val="center"/>
              <w:textAlignment w:val="center"/>
              <w:rPr>
                <w:rFonts w:hint="eastAsia"/>
                <w:sz w:val="28"/>
                <w:szCs w:val="28"/>
                <w:lang w:val="en-US" w:eastAsia="zh-CN"/>
              </w:rPr>
            </w:pPr>
          </w:p>
        </w:tc>
        <w:tc>
          <w:tcPr>
            <w:tcW w:w="71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6961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 w:cs="Times New Roman"/>
                <w:kern w:val="0"/>
                <w:sz w:val="22"/>
                <w:szCs w:val="22"/>
                <w:lang w:val="en-US" w:eastAsia="zh-CN" w:bidi="ar-SA"/>
              </w:rPr>
            </w:pPr>
            <w:r>
              <w:rPr>
                <w:rFonts w:hint="eastAsia" w:ascii="Times New Roman" w:hAnsi="Times New Roman" w:eastAsia="仿宋" w:cs="Times New Roman"/>
                <w:kern w:val="0"/>
                <w:sz w:val="22"/>
                <w:szCs w:val="22"/>
                <w:lang w:val="en-US" w:eastAsia="zh-CN" w:bidi="ar-SA"/>
              </w:rPr>
              <w:t>7.支持通过平台能力对接集成获取相关设备信息。</w:t>
            </w:r>
          </w:p>
        </w:tc>
      </w:tr>
      <w:tr w14:paraId="2C608A1E">
        <w:tblPrEx>
          <w:tblCellMar>
            <w:top w:w="0" w:type="dxa"/>
            <w:left w:w="108" w:type="dxa"/>
            <w:bottom w:w="0" w:type="dxa"/>
            <w:right w:w="108" w:type="dxa"/>
          </w:tblCellMar>
        </w:tblPrEx>
        <w:trPr>
          <w:trHeight w:val="365" w:hRule="atLeast"/>
          <w:jc w:val="center"/>
        </w:trPr>
        <w:tc>
          <w:tcPr>
            <w:tcW w:w="716" w:type="dxa"/>
            <w:vMerge w:val="continue"/>
            <w:tcBorders>
              <w:left w:val="single" w:color="000000" w:sz="4" w:space="0"/>
              <w:bottom w:val="single" w:color="000000" w:sz="4" w:space="0"/>
              <w:right w:val="single" w:color="000000" w:sz="4" w:space="0"/>
            </w:tcBorders>
            <w:shd w:val="clear" w:color="auto" w:fill="auto"/>
            <w:vAlign w:val="center"/>
          </w:tcPr>
          <w:p w14:paraId="58189220">
            <w:pPr>
              <w:widowControl/>
              <w:jc w:val="center"/>
              <w:textAlignment w:val="bottom"/>
              <w:rPr>
                <w:rFonts w:hint="eastAsia" w:ascii="仿宋" w:hAnsi="仿宋" w:eastAsia="仿宋" w:cs="仿宋"/>
                <w:color w:val="000000"/>
                <w:lang w:val="en-US" w:eastAsia="zh-CN"/>
              </w:rPr>
            </w:pPr>
          </w:p>
        </w:tc>
        <w:tc>
          <w:tcPr>
            <w:tcW w:w="2056" w:type="dxa"/>
            <w:vMerge w:val="continue"/>
            <w:tcBorders>
              <w:left w:val="single" w:color="000000" w:sz="4" w:space="0"/>
              <w:bottom w:val="single" w:color="000000" w:sz="4" w:space="0"/>
              <w:right w:val="single" w:color="000000" w:sz="4" w:space="0"/>
            </w:tcBorders>
            <w:shd w:val="clear" w:color="auto" w:fill="auto"/>
            <w:vAlign w:val="center"/>
          </w:tcPr>
          <w:p w14:paraId="379A2652">
            <w:pPr>
              <w:widowControl/>
              <w:jc w:val="center"/>
              <w:textAlignment w:val="center"/>
              <w:rPr>
                <w:rFonts w:hint="eastAsia"/>
                <w:sz w:val="28"/>
                <w:szCs w:val="28"/>
                <w:lang w:val="en-US" w:eastAsia="zh-CN"/>
              </w:rPr>
            </w:pPr>
          </w:p>
        </w:tc>
        <w:tc>
          <w:tcPr>
            <w:tcW w:w="71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121CC">
            <w:pPr>
              <w:rPr>
                <w:rFonts w:hint="eastAsia" w:ascii="Times New Roman" w:hAnsi="Times New Roman" w:eastAsia="仿宋" w:cs="Times New Roman"/>
                <w:kern w:val="0"/>
                <w:sz w:val="22"/>
                <w:szCs w:val="22"/>
                <w:lang w:val="en-US" w:eastAsia="zh-CN" w:bidi="ar-SA"/>
              </w:rPr>
            </w:pPr>
            <w:r>
              <w:rPr>
                <w:rFonts w:hint="eastAsia" w:ascii="Times New Roman" w:hAnsi="Times New Roman" w:eastAsia="仿宋" w:cs="Times New Roman"/>
                <w:kern w:val="0"/>
                <w:sz w:val="22"/>
                <w:szCs w:val="22"/>
                <w:lang w:val="en-US" w:eastAsia="zh-CN" w:bidi="ar-SA"/>
              </w:rPr>
              <w:t>8.具备《信息系统安全等级保护备案证明》证书。（需提供有效证书复印件并加盖供应商鲜章）</w:t>
            </w:r>
          </w:p>
        </w:tc>
      </w:tr>
      <w:tr w14:paraId="7D439A8F">
        <w:tblPrEx>
          <w:tblCellMar>
            <w:top w:w="0" w:type="dxa"/>
            <w:left w:w="108" w:type="dxa"/>
            <w:bottom w:w="0" w:type="dxa"/>
            <w:right w:w="108" w:type="dxa"/>
          </w:tblCellMar>
        </w:tblPrEx>
        <w:trPr>
          <w:trHeight w:val="365" w:hRule="atLeast"/>
          <w:jc w:val="center"/>
        </w:trPr>
        <w:tc>
          <w:tcPr>
            <w:tcW w:w="71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0107A82">
            <w:pPr>
              <w:widowControl/>
              <w:jc w:val="center"/>
              <w:textAlignment w:val="bottom"/>
              <w:rPr>
                <w:rFonts w:hint="default" w:ascii="仿宋" w:hAnsi="仿宋" w:eastAsia="仿宋" w:cs="仿宋"/>
                <w:color w:val="000000"/>
                <w:lang w:val="en-US" w:eastAsia="zh-CN"/>
              </w:rPr>
            </w:pPr>
            <w:r>
              <w:rPr>
                <w:rFonts w:hint="eastAsia" w:ascii="仿宋" w:hAnsi="仿宋" w:eastAsia="仿宋" w:cs="仿宋"/>
                <w:color w:val="000000"/>
                <w:lang w:val="en-US" w:eastAsia="zh-CN"/>
              </w:rPr>
              <w:t>3</w:t>
            </w:r>
          </w:p>
        </w:tc>
        <w:tc>
          <w:tcPr>
            <w:tcW w:w="20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0FD0633">
            <w:pPr>
              <w:widowControl/>
              <w:jc w:val="center"/>
              <w:textAlignment w:val="center"/>
              <w:rPr>
                <w:rFonts w:hint="eastAsia"/>
                <w:sz w:val="28"/>
                <w:szCs w:val="28"/>
                <w:lang w:val="en-US" w:eastAsia="zh-CN"/>
              </w:rPr>
            </w:pPr>
            <w:r>
              <w:rPr>
                <w:rFonts w:hint="eastAsia" w:ascii="仿宋" w:hAnsi="仿宋" w:eastAsia="仿宋" w:cs="仿宋"/>
                <w:b/>
                <w:bCs/>
                <w:spacing w:val="-12"/>
                <w:lang w:val="en-US" w:eastAsia="zh-CN"/>
              </w:rPr>
              <w:t>安全服务要求</w:t>
            </w:r>
          </w:p>
        </w:tc>
        <w:tc>
          <w:tcPr>
            <w:tcW w:w="71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F9061">
            <w:pPr>
              <w:rPr>
                <w:rFonts w:hint="eastAsia" w:ascii="Times New Roman" w:hAnsi="Times New Roman" w:eastAsia="仿宋" w:cs="Times New Roman"/>
                <w:kern w:val="0"/>
                <w:sz w:val="22"/>
                <w:szCs w:val="22"/>
                <w:lang w:val="en-US" w:eastAsia="zh-CN" w:bidi="ar-SA"/>
              </w:rPr>
            </w:pPr>
            <w:r>
              <w:rPr>
                <w:rFonts w:hint="eastAsia" w:ascii="Times New Roman" w:hAnsi="Times New Roman" w:eastAsia="仿宋" w:cs="Times New Roman"/>
                <w:kern w:val="0"/>
                <w:sz w:val="22"/>
                <w:szCs w:val="22"/>
                <w:lang w:val="en-US" w:eastAsia="zh-CN" w:bidi="ar-SA"/>
              </w:rPr>
              <w:t>1.采用国产化CPU和国产化操作系统，1U标准机架式硬件设备，CPU≥8核（主频≥2.8GHz），内存≥16G，SSD硬盘≥256G，SATA硬盘≥4T，配备交流冗余电源，RJ45串口≥1个，千兆电管理口≥1个，HA口≥1个，USB接口≥2个，千兆电口（带3组Bypass）≥6个,千兆SFP光口≥4个，接口扩展槽位≥2个</w:t>
            </w:r>
          </w:p>
        </w:tc>
      </w:tr>
      <w:tr w14:paraId="07EDE4BF">
        <w:tblPrEx>
          <w:tblCellMar>
            <w:top w:w="0" w:type="dxa"/>
            <w:left w:w="108" w:type="dxa"/>
            <w:bottom w:w="0" w:type="dxa"/>
            <w:right w:w="108" w:type="dxa"/>
          </w:tblCellMar>
        </w:tblPrEx>
        <w:trPr>
          <w:trHeight w:val="365" w:hRule="atLeast"/>
          <w:jc w:val="center"/>
        </w:trPr>
        <w:tc>
          <w:tcPr>
            <w:tcW w:w="7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C43456">
            <w:pPr>
              <w:widowControl/>
              <w:jc w:val="center"/>
              <w:textAlignment w:val="bottom"/>
              <w:rPr>
                <w:rFonts w:hint="eastAsia" w:ascii="仿宋" w:hAnsi="仿宋" w:eastAsia="仿宋" w:cs="仿宋"/>
                <w:color w:val="000000"/>
                <w:lang w:val="en-US" w:eastAsia="zh-CN"/>
              </w:rPr>
            </w:pPr>
          </w:p>
        </w:tc>
        <w:tc>
          <w:tcPr>
            <w:tcW w:w="20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AB45F0">
            <w:pPr>
              <w:widowControl/>
              <w:jc w:val="center"/>
              <w:textAlignment w:val="center"/>
              <w:rPr>
                <w:rFonts w:hint="eastAsia"/>
                <w:sz w:val="28"/>
                <w:szCs w:val="28"/>
                <w:lang w:val="en-US" w:eastAsia="zh-CN"/>
              </w:rPr>
            </w:pPr>
          </w:p>
        </w:tc>
        <w:tc>
          <w:tcPr>
            <w:tcW w:w="71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EB6BC">
            <w:pPr>
              <w:rPr>
                <w:rFonts w:hint="eastAsia" w:ascii="Times New Roman" w:hAnsi="Times New Roman" w:eastAsia="仿宋" w:cs="Times New Roman"/>
                <w:kern w:val="0"/>
                <w:sz w:val="22"/>
                <w:szCs w:val="22"/>
                <w:lang w:val="en-US" w:eastAsia="zh-CN" w:bidi="ar-SA"/>
              </w:rPr>
            </w:pPr>
            <w:r>
              <w:rPr>
                <w:rFonts w:hint="eastAsia" w:ascii="Times New Roman" w:hAnsi="Times New Roman" w:eastAsia="仿宋" w:cs="Times New Roman"/>
                <w:kern w:val="0"/>
                <w:sz w:val="22"/>
                <w:szCs w:val="22"/>
                <w:lang w:val="en-US" w:eastAsia="zh-CN" w:bidi="ar-SA"/>
              </w:rPr>
              <w:t>2.网络层吞吐量≥12Gbps，应用层吞吐量≥10Gbps，深度解析防护吞吐量≥7Gbps，最大并发连接数≥200万，每秒新建连接数≥15万。</w:t>
            </w:r>
          </w:p>
        </w:tc>
      </w:tr>
      <w:tr w14:paraId="1E7A788A">
        <w:tblPrEx>
          <w:tblCellMar>
            <w:top w:w="0" w:type="dxa"/>
            <w:left w:w="108" w:type="dxa"/>
            <w:bottom w:w="0" w:type="dxa"/>
            <w:right w:w="108" w:type="dxa"/>
          </w:tblCellMar>
        </w:tblPrEx>
        <w:trPr>
          <w:trHeight w:val="365" w:hRule="atLeast"/>
          <w:jc w:val="center"/>
        </w:trPr>
        <w:tc>
          <w:tcPr>
            <w:tcW w:w="7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38C4B7">
            <w:pPr>
              <w:widowControl/>
              <w:jc w:val="center"/>
              <w:textAlignment w:val="bottom"/>
              <w:rPr>
                <w:rFonts w:hint="eastAsia" w:ascii="仿宋" w:hAnsi="仿宋" w:eastAsia="仿宋" w:cs="仿宋"/>
                <w:color w:val="000000"/>
                <w:lang w:val="en-US" w:eastAsia="zh-CN"/>
              </w:rPr>
            </w:pPr>
          </w:p>
        </w:tc>
        <w:tc>
          <w:tcPr>
            <w:tcW w:w="20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6C0DA6">
            <w:pPr>
              <w:widowControl/>
              <w:jc w:val="center"/>
              <w:textAlignment w:val="center"/>
              <w:rPr>
                <w:rFonts w:hint="eastAsia"/>
                <w:sz w:val="28"/>
                <w:szCs w:val="28"/>
                <w:lang w:val="en-US" w:eastAsia="zh-CN"/>
              </w:rPr>
            </w:pPr>
          </w:p>
        </w:tc>
        <w:tc>
          <w:tcPr>
            <w:tcW w:w="71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BD52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 w:cs="Times New Roman"/>
                <w:kern w:val="0"/>
                <w:sz w:val="22"/>
                <w:szCs w:val="22"/>
                <w:lang w:val="en-US" w:eastAsia="zh-CN" w:bidi="ar-SA"/>
              </w:rPr>
            </w:pPr>
            <w:r>
              <w:rPr>
                <w:rFonts w:hint="eastAsia" w:ascii="Times New Roman" w:hAnsi="Times New Roman" w:eastAsia="仿宋" w:cs="Times New Roman"/>
                <w:kern w:val="0"/>
                <w:sz w:val="22"/>
                <w:szCs w:val="22"/>
                <w:lang w:val="en-US" w:eastAsia="zh-CN" w:bidi="ar-SA"/>
              </w:rPr>
              <w:t>3.提供IPecVPN和SSL VPN功能，支持国密SM3/SM4算法，IPSec吞吐量≥4Gbps,SSL VPN吞吐量≥12Gbps,SSL VPN并发用户数≥1000。</w:t>
            </w:r>
          </w:p>
        </w:tc>
      </w:tr>
      <w:tr w14:paraId="75B3B407">
        <w:tblPrEx>
          <w:tblCellMar>
            <w:top w:w="0" w:type="dxa"/>
            <w:left w:w="108" w:type="dxa"/>
            <w:bottom w:w="0" w:type="dxa"/>
            <w:right w:w="108" w:type="dxa"/>
          </w:tblCellMar>
        </w:tblPrEx>
        <w:trPr>
          <w:trHeight w:val="365" w:hRule="atLeast"/>
          <w:jc w:val="center"/>
        </w:trPr>
        <w:tc>
          <w:tcPr>
            <w:tcW w:w="7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AECA89">
            <w:pPr>
              <w:widowControl/>
              <w:jc w:val="center"/>
              <w:textAlignment w:val="bottom"/>
              <w:rPr>
                <w:rFonts w:hint="eastAsia" w:ascii="仿宋" w:hAnsi="仿宋" w:eastAsia="仿宋" w:cs="仿宋"/>
                <w:color w:val="000000"/>
                <w:lang w:val="en-US" w:eastAsia="zh-CN"/>
              </w:rPr>
            </w:pPr>
          </w:p>
        </w:tc>
        <w:tc>
          <w:tcPr>
            <w:tcW w:w="20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D6EE48">
            <w:pPr>
              <w:widowControl/>
              <w:jc w:val="center"/>
              <w:textAlignment w:val="center"/>
              <w:rPr>
                <w:rFonts w:hint="eastAsia"/>
                <w:sz w:val="28"/>
                <w:szCs w:val="28"/>
                <w:lang w:val="en-US" w:eastAsia="zh-CN"/>
              </w:rPr>
            </w:pPr>
          </w:p>
        </w:tc>
        <w:tc>
          <w:tcPr>
            <w:tcW w:w="71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10DEC">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仿宋" w:cs="Times New Roman"/>
                <w:kern w:val="0"/>
                <w:sz w:val="22"/>
                <w:szCs w:val="22"/>
                <w:lang w:val="en-US" w:eastAsia="zh-CN" w:bidi="ar-SA"/>
              </w:rPr>
            </w:pPr>
            <w:r>
              <w:rPr>
                <w:rFonts w:hint="eastAsia" w:ascii="Times New Roman" w:hAnsi="Times New Roman" w:eastAsia="仿宋" w:cs="Times New Roman"/>
                <w:kern w:val="0"/>
                <w:sz w:val="22"/>
                <w:szCs w:val="22"/>
                <w:lang w:val="en-US" w:eastAsia="zh-CN" w:bidi="ar-SA"/>
              </w:rPr>
              <w:t>4.支持建立GRE隧道，指定隧道源目的IP。</w:t>
            </w:r>
          </w:p>
        </w:tc>
      </w:tr>
      <w:tr w14:paraId="7EAB9DF6">
        <w:tblPrEx>
          <w:tblCellMar>
            <w:top w:w="0" w:type="dxa"/>
            <w:left w:w="108" w:type="dxa"/>
            <w:bottom w:w="0" w:type="dxa"/>
            <w:right w:w="108" w:type="dxa"/>
          </w:tblCellMar>
        </w:tblPrEx>
        <w:trPr>
          <w:trHeight w:val="365" w:hRule="atLeast"/>
          <w:jc w:val="center"/>
        </w:trPr>
        <w:tc>
          <w:tcPr>
            <w:tcW w:w="7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4A7E52">
            <w:pPr>
              <w:widowControl/>
              <w:jc w:val="center"/>
              <w:textAlignment w:val="bottom"/>
              <w:rPr>
                <w:rFonts w:hint="eastAsia" w:ascii="仿宋" w:hAnsi="仿宋" w:eastAsia="仿宋" w:cs="仿宋"/>
                <w:color w:val="000000"/>
                <w:lang w:val="en-US" w:eastAsia="zh-CN"/>
              </w:rPr>
            </w:pPr>
          </w:p>
        </w:tc>
        <w:tc>
          <w:tcPr>
            <w:tcW w:w="20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557AD1">
            <w:pPr>
              <w:widowControl/>
              <w:jc w:val="center"/>
              <w:textAlignment w:val="center"/>
              <w:rPr>
                <w:rFonts w:hint="eastAsia"/>
                <w:sz w:val="28"/>
                <w:szCs w:val="28"/>
                <w:lang w:val="en-US" w:eastAsia="zh-CN"/>
              </w:rPr>
            </w:pPr>
          </w:p>
        </w:tc>
        <w:tc>
          <w:tcPr>
            <w:tcW w:w="71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F160A">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仿宋" w:cs="Times New Roman"/>
                <w:kern w:val="0"/>
                <w:sz w:val="22"/>
                <w:szCs w:val="22"/>
                <w:lang w:val="en-US" w:eastAsia="zh-CN" w:bidi="ar-SA"/>
              </w:rPr>
            </w:pPr>
            <w:r>
              <w:rPr>
                <w:rFonts w:hint="eastAsia" w:ascii="Times New Roman" w:hAnsi="Times New Roman" w:eastAsia="仿宋" w:cs="Times New Roman"/>
                <w:kern w:val="0"/>
                <w:sz w:val="22"/>
                <w:szCs w:val="22"/>
                <w:lang w:val="en-US" w:eastAsia="zh-CN" w:bidi="ar-SA"/>
              </w:rPr>
              <w:t>5.支持keepalive探测，以及故障自动重连机制。</w:t>
            </w:r>
          </w:p>
        </w:tc>
      </w:tr>
      <w:tr w14:paraId="41BF4116">
        <w:tblPrEx>
          <w:tblCellMar>
            <w:top w:w="0" w:type="dxa"/>
            <w:left w:w="108" w:type="dxa"/>
            <w:bottom w:w="0" w:type="dxa"/>
            <w:right w:w="108" w:type="dxa"/>
          </w:tblCellMar>
        </w:tblPrEx>
        <w:trPr>
          <w:trHeight w:val="365" w:hRule="atLeast"/>
          <w:jc w:val="center"/>
        </w:trPr>
        <w:tc>
          <w:tcPr>
            <w:tcW w:w="7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480908">
            <w:pPr>
              <w:widowControl/>
              <w:jc w:val="center"/>
              <w:textAlignment w:val="bottom"/>
              <w:rPr>
                <w:rFonts w:hint="eastAsia" w:ascii="仿宋" w:hAnsi="仿宋" w:eastAsia="仿宋" w:cs="仿宋"/>
                <w:color w:val="000000"/>
                <w:lang w:val="en-US" w:eastAsia="zh-CN"/>
              </w:rPr>
            </w:pPr>
          </w:p>
        </w:tc>
        <w:tc>
          <w:tcPr>
            <w:tcW w:w="20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DE954D">
            <w:pPr>
              <w:widowControl/>
              <w:jc w:val="center"/>
              <w:textAlignment w:val="center"/>
              <w:rPr>
                <w:rFonts w:hint="eastAsia"/>
                <w:sz w:val="28"/>
                <w:szCs w:val="28"/>
                <w:lang w:val="en-US" w:eastAsia="zh-CN"/>
              </w:rPr>
            </w:pPr>
          </w:p>
        </w:tc>
        <w:tc>
          <w:tcPr>
            <w:tcW w:w="71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14287">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仿宋" w:cs="Times New Roman"/>
                <w:kern w:val="0"/>
                <w:sz w:val="22"/>
                <w:szCs w:val="22"/>
                <w:lang w:val="en-US" w:eastAsia="zh-CN" w:bidi="ar-SA"/>
              </w:rPr>
            </w:pPr>
            <w:r>
              <w:rPr>
                <w:rFonts w:hint="eastAsia" w:ascii="Times New Roman" w:hAnsi="Times New Roman" w:eastAsia="仿宋" w:cs="Times New Roman"/>
                <w:kern w:val="0"/>
                <w:sz w:val="22"/>
                <w:szCs w:val="22"/>
                <w:lang w:val="en-US" w:eastAsia="zh-CN" w:bidi="ar-SA"/>
              </w:rPr>
              <w:t>6.支持基于GRE逻辑接口的SLA探测能力，包括基于TCP、UDP、ICMP的探测，支持设置探测间隔与最大探测失败次数。</w:t>
            </w:r>
          </w:p>
        </w:tc>
      </w:tr>
      <w:tr w14:paraId="42B15581">
        <w:tblPrEx>
          <w:tblCellMar>
            <w:top w:w="0" w:type="dxa"/>
            <w:left w:w="108" w:type="dxa"/>
            <w:bottom w:w="0" w:type="dxa"/>
            <w:right w:w="108" w:type="dxa"/>
          </w:tblCellMar>
        </w:tblPrEx>
        <w:trPr>
          <w:trHeight w:val="365" w:hRule="atLeast"/>
          <w:jc w:val="center"/>
        </w:trPr>
        <w:tc>
          <w:tcPr>
            <w:tcW w:w="7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6419BF">
            <w:pPr>
              <w:widowControl/>
              <w:jc w:val="center"/>
              <w:textAlignment w:val="bottom"/>
              <w:rPr>
                <w:rFonts w:hint="eastAsia" w:ascii="仿宋" w:hAnsi="仿宋" w:eastAsia="仿宋" w:cs="仿宋"/>
                <w:color w:val="000000"/>
                <w:lang w:val="en-US" w:eastAsia="zh-CN"/>
              </w:rPr>
            </w:pPr>
          </w:p>
        </w:tc>
        <w:tc>
          <w:tcPr>
            <w:tcW w:w="20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FB24FA">
            <w:pPr>
              <w:widowControl/>
              <w:jc w:val="center"/>
              <w:textAlignment w:val="center"/>
              <w:rPr>
                <w:rFonts w:hint="eastAsia"/>
                <w:sz w:val="28"/>
                <w:szCs w:val="28"/>
                <w:lang w:val="en-US" w:eastAsia="zh-CN"/>
              </w:rPr>
            </w:pPr>
          </w:p>
        </w:tc>
        <w:tc>
          <w:tcPr>
            <w:tcW w:w="71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0BFF5">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仿宋" w:cs="Times New Roman"/>
                <w:kern w:val="0"/>
                <w:sz w:val="22"/>
                <w:szCs w:val="22"/>
                <w:lang w:val="en-US" w:eastAsia="zh-CN" w:bidi="ar-SA"/>
              </w:rPr>
            </w:pPr>
            <w:r>
              <w:rPr>
                <w:rFonts w:hint="eastAsia" w:ascii="Times New Roman" w:hAnsi="Times New Roman" w:eastAsia="仿宋" w:cs="Times New Roman"/>
                <w:kern w:val="0"/>
                <w:sz w:val="22"/>
                <w:szCs w:val="22"/>
                <w:lang w:val="en-US" w:eastAsia="zh-CN" w:bidi="ar-SA"/>
              </w:rPr>
              <w:t>7.支持GRE隧道状态统计、隧道流量统计。</w:t>
            </w:r>
          </w:p>
        </w:tc>
      </w:tr>
      <w:tr w14:paraId="201E616E">
        <w:tblPrEx>
          <w:tblCellMar>
            <w:top w:w="0" w:type="dxa"/>
            <w:left w:w="108" w:type="dxa"/>
            <w:bottom w:w="0" w:type="dxa"/>
            <w:right w:w="108" w:type="dxa"/>
          </w:tblCellMar>
        </w:tblPrEx>
        <w:trPr>
          <w:trHeight w:val="365" w:hRule="atLeast"/>
          <w:jc w:val="center"/>
        </w:trPr>
        <w:tc>
          <w:tcPr>
            <w:tcW w:w="7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2B2F31">
            <w:pPr>
              <w:widowControl/>
              <w:jc w:val="center"/>
              <w:textAlignment w:val="bottom"/>
              <w:rPr>
                <w:rFonts w:hint="eastAsia" w:ascii="仿宋" w:hAnsi="仿宋" w:eastAsia="仿宋" w:cs="仿宋"/>
                <w:color w:val="000000"/>
                <w:lang w:val="en-US" w:eastAsia="zh-CN"/>
              </w:rPr>
            </w:pPr>
          </w:p>
        </w:tc>
        <w:tc>
          <w:tcPr>
            <w:tcW w:w="20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4BF6F4">
            <w:pPr>
              <w:widowControl/>
              <w:jc w:val="center"/>
              <w:textAlignment w:val="center"/>
              <w:rPr>
                <w:rFonts w:hint="eastAsia"/>
                <w:sz w:val="28"/>
                <w:szCs w:val="28"/>
                <w:lang w:val="en-US" w:eastAsia="zh-CN"/>
              </w:rPr>
            </w:pPr>
          </w:p>
        </w:tc>
        <w:tc>
          <w:tcPr>
            <w:tcW w:w="71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F86D0">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仿宋" w:cs="Times New Roman"/>
                <w:kern w:val="0"/>
                <w:sz w:val="22"/>
                <w:szCs w:val="22"/>
                <w:lang w:val="en-US" w:eastAsia="zh-CN" w:bidi="ar-SA"/>
              </w:rPr>
            </w:pPr>
            <w:r>
              <w:rPr>
                <w:rFonts w:hint="eastAsia" w:ascii="Times New Roman" w:hAnsi="Times New Roman" w:eastAsia="仿宋" w:cs="Times New Roman"/>
                <w:kern w:val="0"/>
                <w:sz w:val="22"/>
                <w:szCs w:val="22"/>
                <w:lang w:val="en-US" w:eastAsia="zh-CN" w:bidi="ar-SA"/>
              </w:rPr>
              <w:t>8.支持将一台物理防火墙划分出多台虚拟防火墙系统，用户可以为每个虚拟化系统指定防火墙策略、NAT 策略以及静态路由、策略路由的数量。（需提供具有CMA或CNAS标志国家认可的检测机构出具的检测报告复印件）。</w:t>
            </w:r>
          </w:p>
        </w:tc>
      </w:tr>
      <w:tr w14:paraId="031D5331">
        <w:tblPrEx>
          <w:tblCellMar>
            <w:top w:w="0" w:type="dxa"/>
            <w:left w:w="108" w:type="dxa"/>
            <w:bottom w:w="0" w:type="dxa"/>
            <w:right w:w="108" w:type="dxa"/>
          </w:tblCellMar>
        </w:tblPrEx>
        <w:trPr>
          <w:trHeight w:val="365" w:hRule="atLeast"/>
          <w:jc w:val="center"/>
        </w:trPr>
        <w:tc>
          <w:tcPr>
            <w:tcW w:w="7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925942">
            <w:pPr>
              <w:widowControl/>
              <w:jc w:val="center"/>
              <w:textAlignment w:val="bottom"/>
              <w:rPr>
                <w:rFonts w:hint="eastAsia" w:ascii="仿宋" w:hAnsi="仿宋" w:eastAsia="仿宋" w:cs="仿宋"/>
                <w:color w:val="000000"/>
                <w:lang w:val="en-US" w:eastAsia="zh-CN"/>
              </w:rPr>
            </w:pPr>
          </w:p>
        </w:tc>
        <w:tc>
          <w:tcPr>
            <w:tcW w:w="20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C2E43A">
            <w:pPr>
              <w:widowControl/>
              <w:jc w:val="center"/>
              <w:textAlignment w:val="center"/>
              <w:rPr>
                <w:rFonts w:hint="eastAsia"/>
                <w:sz w:val="28"/>
                <w:szCs w:val="28"/>
                <w:lang w:val="en-US" w:eastAsia="zh-CN"/>
              </w:rPr>
            </w:pPr>
          </w:p>
        </w:tc>
        <w:tc>
          <w:tcPr>
            <w:tcW w:w="71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5B85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 w:cs="Times New Roman"/>
                <w:kern w:val="0"/>
                <w:sz w:val="22"/>
                <w:szCs w:val="22"/>
                <w:lang w:val="en-US" w:eastAsia="zh-CN" w:bidi="ar-SA"/>
              </w:rPr>
            </w:pPr>
            <w:r>
              <w:rPr>
                <w:rFonts w:hint="eastAsia" w:ascii="Times New Roman" w:hAnsi="Times New Roman" w:eastAsia="仿宋" w:cs="Times New Roman"/>
                <w:kern w:val="0"/>
                <w:sz w:val="22"/>
                <w:szCs w:val="22"/>
                <w:lang w:val="en-US" w:eastAsia="zh-CN" w:bidi="ar-SA"/>
              </w:rPr>
              <w:t>9.支持虚拟线，二层透明，三层，混合，旁路监听，单臂接入方式，支持汇聚接口，二层聚合、三层聚合、虚拟线聚合，能够手动绑定接口，聚合方式支持平衡轮询、手动负载分担和LACP</w:t>
            </w:r>
          </w:p>
        </w:tc>
      </w:tr>
      <w:tr w14:paraId="3C6659D9">
        <w:tblPrEx>
          <w:tblCellMar>
            <w:top w:w="0" w:type="dxa"/>
            <w:left w:w="108" w:type="dxa"/>
            <w:bottom w:w="0" w:type="dxa"/>
            <w:right w:w="108" w:type="dxa"/>
          </w:tblCellMar>
        </w:tblPrEx>
        <w:trPr>
          <w:trHeight w:val="365" w:hRule="atLeast"/>
          <w:jc w:val="center"/>
        </w:trPr>
        <w:tc>
          <w:tcPr>
            <w:tcW w:w="7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A0CE21">
            <w:pPr>
              <w:widowControl/>
              <w:jc w:val="center"/>
              <w:textAlignment w:val="bottom"/>
              <w:rPr>
                <w:rFonts w:hint="eastAsia" w:ascii="仿宋" w:hAnsi="仿宋" w:eastAsia="仿宋" w:cs="仿宋"/>
                <w:color w:val="000000"/>
                <w:lang w:val="en-US" w:eastAsia="zh-CN"/>
              </w:rPr>
            </w:pPr>
          </w:p>
        </w:tc>
        <w:tc>
          <w:tcPr>
            <w:tcW w:w="20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7FF1E9">
            <w:pPr>
              <w:widowControl/>
              <w:jc w:val="center"/>
              <w:textAlignment w:val="center"/>
              <w:rPr>
                <w:rFonts w:hint="eastAsia"/>
                <w:sz w:val="28"/>
                <w:szCs w:val="28"/>
                <w:lang w:val="en-US" w:eastAsia="zh-CN"/>
              </w:rPr>
            </w:pPr>
          </w:p>
        </w:tc>
        <w:tc>
          <w:tcPr>
            <w:tcW w:w="71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528F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 w:cs="Times New Roman"/>
                <w:kern w:val="0"/>
                <w:sz w:val="22"/>
                <w:szCs w:val="22"/>
                <w:lang w:val="en-US" w:eastAsia="zh-CN" w:bidi="ar-SA"/>
              </w:rPr>
            </w:pPr>
            <w:r>
              <w:rPr>
                <w:rFonts w:hint="eastAsia" w:ascii="Times New Roman" w:hAnsi="Times New Roman" w:eastAsia="仿宋" w:cs="Times New Roman"/>
                <w:kern w:val="0"/>
                <w:sz w:val="22"/>
                <w:szCs w:val="22"/>
                <w:lang w:val="en-US" w:eastAsia="zh-CN" w:bidi="ar-SA"/>
              </w:rPr>
              <w:t>10.支持WEB界面设置静态路由及OSPF、RIP动态路由协议，支持基于源/目的地址、接口的、基于服务的策略路由。</w:t>
            </w:r>
          </w:p>
        </w:tc>
      </w:tr>
      <w:tr w14:paraId="31018D24">
        <w:tblPrEx>
          <w:tblCellMar>
            <w:top w:w="0" w:type="dxa"/>
            <w:left w:w="108" w:type="dxa"/>
            <w:bottom w:w="0" w:type="dxa"/>
            <w:right w:w="108" w:type="dxa"/>
          </w:tblCellMar>
        </w:tblPrEx>
        <w:trPr>
          <w:trHeight w:val="365" w:hRule="atLeast"/>
          <w:jc w:val="center"/>
        </w:trPr>
        <w:tc>
          <w:tcPr>
            <w:tcW w:w="7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3419FF">
            <w:pPr>
              <w:widowControl/>
              <w:jc w:val="center"/>
              <w:textAlignment w:val="bottom"/>
              <w:rPr>
                <w:rFonts w:hint="eastAsia" w:ascii="仿宋" w:hAnsi="仿宋" w:eastAsia="仿宋" w:cs="仿宋"/>
                <w:color w:val="000000"/>
                <w:lang w:val="en-US" w:eastAsia="zh-CN"/>
              </w:rPr>
            </w:pPr>
          </w:p>
        </w:tc>
        <w:tc>
          <w:tcPr>
            <w:tcW w:w="20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7DA5C9">
            <w:pPr>
              <w:widowControl/>
              <w:jc w:val="center"/>
              <w:textAlignment w:val="center"/>
              <w:rPr>
                <w:rFonts w:hint="eastAsia"/>
                <w:sz w:val="28"/>
                <w:szCs w:val="28"/>
                <w:lang w:val="en-US" w:eastAsia="zh-CN"/>
              </w:rPr>
            </w:pPr>
          </w:p>
        </w:tc>
        <w:tc>
          <w:tcPr>
            <w:tcW w:w="71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9DC0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 w:cs="Times New Roman"/>
                <w:kern w:val="0"/>
                <w:sz w:val="22"/>
                <w:szCs w:val="22"/>
                <w:lang w:val="en-US" w:eastAsia="zh-CN" w:bidi="ar-SA"/>
              </w:rPr>
            </w:pPr>
            <w:r>
              <w:rPr>
                <w:rFonts w:hint="eastAsia" w:ascii="Times New Roman" w:hAnsi="Times New Roman" w:eastAsia="仿宋" w:cs="Times New Roman"/>
                <w:kern w:val="0"/>
                <w:sz w:val="22"/>
                <w:szCs w:val="22"/>
                <w:lang w:val="en-US" w:eastAsia="zh-CN" w:bidi="ar-SA"/>
              </w:rPr>
              <w:t>11.能够在一条策略里配置源/目的IP地址、安全区、应用、协议/端口、时间、安全模板（例如入侵防护、URL过滤、网络防病毒等）。</w:t>
            </w:r>
          </w:p>
        </w:tc>
      </w:tr>
      <w:tr w14:paraId="49077A1D">
        <w:tblPrEx>
          <w:tblCellMar>
            <w:top w:w="0" w:type="dxa"/>
            <w:left w:w="108" w:type="dxa"/>
            <w:bottom w:w="0" w:type="dxa"/>
            <w:right w:w="108" w:type="dxa"/>
          </w:tblCellMar>
        </w:tblPrEx>
        <w:trPr>
          <w:trHeight w:val="365" w:hRule="atLeast"/>
          <w:jc w:val="center"/>
        </w:trPr>
        <w:tc>
          <w:tcPr>
            <w:tcW w:w="7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752ADD">
            <w:pPr>
              <w:widowControl/>
              <w:jc w:val="center"/>
              <w:textAlignment w:val="bottom"/>
              <w:rPr>
                <w:rFonts w:hint="eastAsia" w:ascii="仿宋" w:hAnsi="仿宋" w:eastAsia="仿宋" w:cs="仿宋"/>
                <w:color w:val="000000"/>
                <w:lang w:val="en-US" w:eastAsia="zh-CN"/>
              </w:rPr>
            </w:pPr>
          </w:p>
        </w:tc>
        <w:tc>
          <w:tcPr>
            <w:tcW w:w="20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66540F">
            <w:pPr>
              <w:widowControl/>
              <w:jc w:val="center"/>
              <w:textAlignment w:val="center"/>
              <w:rPr>
                <w:rFonts w:hint="eastAsia"/>
                <w:sz w:val="28"/>
                <w:szCs w:val="28"/>
                <w:lang w:val="en-US" w:eastAsia="zh-CN"/>
              </w:rPr>
            </w:pPr>
          </w:p>
        </w:tc>
        <w:tc>
          <w:tcPr>
            <w:tcW w:w="71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893F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 w:cs="Times New Roman"/>
                <w:kern w:val="0"/>
                <w:sz w:val="22"/>
                <w:szCs w:val="22"/>
                <w:lang w:val="en-US" w:eastAsia="zh-CN" w:bidi="ar-SA"/>
              </w:rPr>
            </w:pPr>
            <w:r>
              <w:rPr>
                <w:rFonts w:hint="eastAsia" w:ascii="Times New Roman" w:hAnsi="Times New Roman" w:eastAsia="仿宋" w:cs="Times New Roman"/>
                <w:kern w:val="0"/>
                <w:sz w:val="22"/>
                <w:szCs w:val="22"/>
                <w:lang w:val="en-US" w:eastAsia="zh-CN" w:bidi="ar-SA"/>
              </w:rPr>
              <w:t>12.针对防火墙策略，支持基于源安全区、目的安全区、源地址、目的地址、源端口、目的端口、协议等，模拟流量报文的处理计算，获得策略的命中信息，并可对命中的策略信息进行编辑,实现防火墙策略命中情况的仿真模拟测算。（需提供具有CMA或CNAS标志国家认可的检测机构出具的检测报告复印件）</w:t>
            </w:r>
          </w:p>
        </w:tc>
      </w:tr>
      <w:tr w14:paraId="4C870289">
        <w:tblPrEx>
          <w:tblCellMar>
            <w:top w:w="0" w:type="dxa"/>
            <w:left w:w="108" w:type="dxa"/>
            <w:bottom w:w="0" w:type="dxa"/>
            <w:right w:w="108" w:type="dxa"/>
          </w:tblCellMar>
        </w:tblPrEx>
        <w:trPr>
          <w:trHeight w:val="365" w:hRule="atLeast"/>
          <w:jc w:val="center"/>
        </w:trPr>
        <w:tc>
          <w:tcPr>
            <w:tcW w:w="7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07B077">
            <w:pPr>
              <w:widowControl/>
              <w:jc w:val="center"/>
              <w:textAlignment w:val="bottom"/>
              <w:rPr>
                <w:rFonts w:hint="eastAsia" w:ascii="仿宋" w:hAnsi="仿宋" w:eastAsia="仿宋" w:cs="仿宋"/>
                <w:color w:val="000000"/>
                <w:lang w:val="en-US" w:eastAsia="zh-CN"/>
              </w:rPr>
            </w:pPr>
          </w:p>
        </w:tc>
        <w:tc>
          <w:tcPr>
            <w:tcW w:w="20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D8CD81">
            <w:pPr>
              <w:widowControl/>
              <w:jc w:val="center"/>
              <w:textAlignment w:val="center"/>
              <w:rPr>
                <w:rFonts w:hint="eastAsia"/>
                <w:sz w:val="28"/>
                <w:szCs w:val="28"/>
                <w:lang w:val="en-US" w:eastAsia="zh-CN"/>
              </w:rPr>
            </w:pPr>
          </w:p>
        </w:tc>
        <w:tc>
          <w:tcPr>
            <w:tcW w:w="71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AB89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 w:cs="Times New Roman"/>
                <w:kern w:val="0"/>
                <w:sz w:val="22"/>
                <w:szCs w:val="22"/>
                <w:lang w:val="en-US" w:eastAsia="zh-CN" w:bidi="ar-SA"/>
              </w:rPr>
            </w:pPr>
            <w:r>
              <w:rPr>
                <w:rFonts w:hint="eastAsia" w:ascii="Times New Roman" w:hAnsi="Times New Roman" w:eastAsia="仿宋" w:cs="Times New Roman"/>
                <w:kern w:val="0"/>
                <w:sz w:val="22"/>
                <w:szCs w:val="22"/>
                <w:lang w:val="en-US" w:eastAsia="zh-CN" w:bidi="ar-SA"/>
              </w:rPr>
              <w:t>13.为高效编辑策略，支持对多条策略的源/目的地址、协议/端口、应用、时间等进行批量修改，实现一次修改覆盖多条策略。（需提供功能界面截图）</w:t>
            </w:r>
          </w:p>
        </w:tc>
      </w:tr>
      <w:tr w14:paraId="34196DCF">
        <w:tblPrEx>
          <w:tblCellMar>
            <w:top w:w="0" w:type="dxa"/>
            <w:left w:w="108" w:type="dxa"/>
            <w:bottom w:w="0" w:type="dxa"/>
            <w:right w:w="108" w:type="dxa"/>
          </w:tblCellMar>
        </w:tblPrEx>
        <w:trPr>
          <w:trHeight w:val="365" w:hRule="atLeast"/>
          <w:jc w:val="center"/>
        </w:trPr>
        <w:tc>
          <w:tcPr>
            <w:tcW w:w="7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3B5950">
            <w:pPr>
              <w:widowControl/>
              <w:jc w:val="center"/>
              <w:textAlignment w:val="bottom"/>
              <w:rPr>
                <w:rFonts w:hint="eastAsia" w:ascii="仿宋" w:hAnsi="仿宋" w:eastAsia="仿宋" w:cs="仿宋"/>
                <w:color w:val="000000"/>
                <w:lang w:val="en-US" w:eastAsia="zh-CN"/>
              </w:rPr>
            </w:pPr>
          </w:p>
        </w:tc>
        <w:tc>
          <w:tcPr>
            <w:tcW w:w="20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443AE2">
            <w:pPr>
              <w:widowControl/>
              <w:jc w:val="center"/>
              <w:textAlignment w:val="center"/>
              <w:rPr>
                <w:rFonts w:hint="eastAsia"/>
                <w:sz w:val="28"/>
                <w:szCs w:val="28"/>
                <w:lang w:val="en-US" w:eastAsia="zh-CN"/>
              </w:rPr>
            </w:pPr>
          </w:p>
        </w:tc>
        <w:tc>
          <w:tcPr>
            <w:tcW w:w="71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3265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 w:cs="Times New Roman"/>
                <w:kern w:val="0"/>
                <w:sz w:val="22"/>
                <w:szCs w:val="22"/>
                <w:lang w:val="en-US" w:eastAsia="zh-CN" w:bidi="ar-SA"/>
              </w:rPr>
            </w:pPr>
            <w:r>
              <w:rPr>
                <w:rFonts w:hint="eastAsia" w:ascii="Times New Roman" w:hAnsi="Times New Roman" w:eastAsia="仿宋" w:cs="Times New Roman"/>
                <w:kern w:val="0"/>
                <w:sz w:val="22"/>
                <w:szCs w:val="22"/>
                <w:lang w:val="en-US" w:eastAsia="zh-CN" w:bidi="ar-SA"/>
              </w:rPr>
              <w:t>14.支持非IP协议（包含IPX和AppleTalk）的进行控制。（需提供具有CMA或CNAS标志国家认可的检测机构出具的检测报告复印件）</w:t>
            </w:r>
          </w:p>
        </w:tc>
      </w:tr>
      <w:tr w14:paraId="3E1219F2">
        <w:tblPrEx>
          <w:tblCellMar>
            <w:top w:w="0" w:type="dxa"/>
            <w:left w:w="108" w:type="dxa"/>
            <w:bottom w:w="0" w:type="dxa"/>
            <w:right w:w="108" w:type="dxa"/>
          </w:tblCellMar>
        </w:tblPrEx>
        <w:trPr>
          <w:trHeight w:val="365" w:hRule="atLeast"/>
          <w:jc w:val="center"/>
        </w:trPr>
        <w:tc>
          <w:tcPr>
            <w:tcW w:w="7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464A79">
            <w:pPr>
              <w:widowControl/>
              <w:jc w:val="center"/>
              <w:textAlignment w:val="bottom"/>
              <w:rPr>
                <w:rFonts w:hint="eastAsia" w:ascii="仿宋" w:hAnsi="仿宋" w:eastAsia="仿宋" w:cs="仿宋"/>
                <w:color w:val="000000"/>
                <w:lang w:val="en-US" w:eastAsia="zh-CN"/>
              </w:rPr>
            </w:pPr>
          </w:p>
        </w:tc>
        <w:tc>
          <w:tcPr>
            <w:tcW w:w="20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0CCB13">
            <w:pPr>
              <w:widowControl/>
              <w:jc w:val="center"/>
              <w:textAlignment w:val="center"/>
              <w:rPr>
                <w:rFonts w:hint="eastAsia"/>
                <w:sz w:val="28"/>
                <w:szCs w:val="28"/>
                <w:lang w:val="en-US" w:eastAsia="zh-CN"/>
              </w:rPr>
            </w:pPr>
          </w:p>
        </w:tc>
        <w:tc>
          <w:tcPr>
            <w:tcW w:w="71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4DE2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 w:cs="Times New Roman"/>
                <w:kern w:val="0"/>
                <w:sz w:val="22"/>
                <w:szCs w:val="22"/>
                <w:lang w:val="en-US" w:eastAsia="zh-CN" w:bidi="ar-SA"/>
              </w:rPr>
            </w:pPr>
            <w:r>
              <w:rPr>
                <w:rFonts w:hint="eastAsia" w:ascii="Times New Roman" w:hAnsi="Times New Roman" w:eastAsia="仿宋" w:cs="Times New Roman"/>
                <w:kern w:val="0"/>
                <w:sz w:val="22"/>
                <w:szCs w:val="22"/>
                <w:lang w:val="en-US" w:eastAsia="zh-CN" w:bidi="ar-SA"/>
              </w:rPr>
              <w:t>15.策略可按匹配顺序、策略分组、新建顺序、安全区分组等不同维度的查看方式，在按匹配顺序查看下，可以通过拖拽实现优先级的调整，也可以输入具体的策略序号、置顶或者置底等方式进行调整。（须提供功能界面截图）</w:t>
            </w:r>
          </w:p>
        </w:tc>
      </w:tr>
      <w:tr w14:paraId="0900D62E">
        <w:tblPrEx>
          <w:tblCellMar>
            <w:top w:w="0" w:type="dxa"/>
            <w:left w:w="108" w:type="dxa"/>
            <w:bottom w:w="0" w:type="dxa"/>
            <w:right w:w="108" w:type="dxa"/>
          </w:tblCellMar>
        </w:tblPrEx>
        <w:trPr>
          <w:trHeight w:val="365" w:hRule="atLeast"/>
          <w:jc w:val="center"/>
        </w:trPr>
        <w:tc>
          <w:tcPr>
            <w:tcW w:w="7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E3C59C">
            <w:pPr>
              <w:widowControl/>
              <w:jc w:val="center"/>
              <w:textAlignment w:val="bottom"/>
              <w:rPr>
                <w:rFonts w:hint="eastAsia" w:ascii="仿宋" w:hAnsi="仿宋" w:eastAsia="仿宋" w:cs="仿宋"/>
                <w:color w:val="000000"/>
                <w:lang w:val="en-US" w:eastAsia="zh-CN"/>
              </w:rPr>
            </w:pPr>
          </w:p>
        </w:tc>
        <w:tc>
          <w:tcPr>
            <w:tcW w:w="20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6220C8">
            <w:pPr>
              <w:widowControl/>
              <w:jc w:val="center"/>
              <w:textAlignment w:val="center"/>
              <w:rPr>
                <w:rFonts w:hint="eastAsia"/>
                <w:sz w:val="28"/>
                <w:szCs w:val="28"/>
                <w:lang w:val="en-US" w:eastAsia="zh-CN"/>
              </w:rPr>
            </w:pPr>
          </w:p>
        </w:tc>
        <w:tc>
          <w:tcPr>
            <w:tcW w:w="71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D1D6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 w:cs="Times New Roman"/>
                <w:kern w:val="0"/>
                <w:sz w:val="22"/>
                <w:szCs w:val="22"/>
                <w:lang w:val="en-US" w:eastAsia="zh-CN" w:bidi="ar-SA"/>
              </w:rPr>
            </w:pPr>
            <w:r>
              <w:rPr>
                <w:rFonts w:hint="eastAsia" w:ascii="Times New Roman" w:hAnsi="Times New Roman" w:eastAsia="仿宋" w:cs="Times New Roman"/>
                <w:kern w:val="0"/>
                <w:sz w:val="22"/>
                <w:szCs w:val="22"/>
                <w:lang w:val="en-US" w:eastAsia="zh-CN" w:bidi="ar-SA"/>
              </w:rPr>
              <w:t>16.支持≥11000种入侵规则过滤，支持远程扫描、暴力破解、缓存区溢出、蠕虫病毒、木马后门、SQL注入、跨站脚本等等检测和防护。</w:t>
            </w:r>
          </w:p>
        </w:tc>
      </w:tr>
      <w:tr w14:paraId="591A68E5">
        <w:tblPrEx>
          <w:tblCellMar>
            <w:top w:w="0" w:type="dxa"/>
            <w:left w:w="108" w:type="dxa"/>
            <w:bottom w:w="0" w:type="dxa"/>
            <w:right w:w="108" w:type="dxa"/>
          </w:tblCellMar>
        </w:tblPrEx>
        <w:trPr>
          <w:trHeight w:val="365" w:hRule="atLeast"/>
          <w:jc w:val="center"/>
        </w:trPr>
        <w:tc>
          <w:tcPr>
            <w:tcW w:w="7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232C21">
            <w:pPr>
              <w:widowControl/>
              <w:jc w:val="center"/>
              <w:textAlignment w:val="bottom"/>
              <w:rPr>
                <w:rFonts w:hint="eastAsia" w:ascii="仿宋" w:hAnsi="仿宋" w:eastAsia="仿宋" w:cs="仿宋"/>
                <w:color w:val="000000"/>
                <w:lang w:val="en-US" w:eastAsia="zh-CN"/>
              </w:rPr>
            </w:pPr>
          </w:p>
        </w:tc>
        <w:tc>
          <w:tcPr>
            <w:tcW w:w="20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0DD367">
            <w:pPr>
              <w:widowControl/>
              <w:jc w:val="center"/>
              <w:textAlignment w:val="center"/>
              <w:rPr>
                <w:rFonts w:hint="eastAsia"/>
                <w:sz w:val="28"/>
                <w:szCs w:val="28"/>
                <w:lang w:val="en-US" w:eastAsia="zh-CN"/>
              </w:rPr>
            </w:pPr>
          </w:p>
        </w:tc>
        <w:tc>
          <w:tcPr>
            <w:tcW w:w="71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69E5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 w:cs="Times New Roman"/>
                <w:kern w:val="0"/>
                <w:sz w:val="22"/>
                <w:szCs w:val="22"/>
                <w:lang w:val="en-US" w:eastAsia="zh-CN" w:bidi="ar-SA"/>
              </w:rPr>
            </w:pPr>
            <w:r>
              <w:rPr>
                <w:rFonts w:hint="eastAsia" w:ascii="Times New Roman" w:hAnsi="Times New Roman" w:eastAsia="仿宋" w:cs="Times New Roman"/>
                <w:kern w:val="0"/>
                <w:sz w:val="22"/>
                <w:szCs w:val="22"/>
                <w:lang w:val="en-US" w:eastAsia="zh-CN" w:bidi="ar-SA"/>
              </w:rPr>
              <w:t>17.支持木马病毒、蠕虫病毒、宏病毒、脚本病毒等各种病毒的查杀，支持双病毒检测引擎，分为流式扫描和文件扫描，查杀邮件正文/附件、网页及下载文件中包含的病毒，可支持到10层压缩文件的病毒查杀。</w:t>
            </w:r>
          </w:p>
        </w:tc>
      </w:tr>
      <w:tr w14:paraId="5D87AE90">
        <w:tblPrEx>
          <w:tblCellMar>
            <w:top w:w="0" w:type="dxa"/>
            <w:left w:w="108" w:type="dxa"/>
            <w:bottom w:w="0" w:type="dxa"/>
            <w:right w:w="108" w:type="dxa"/>
          </w:tblCellMar>
        </w:tblPrEx>
        <w:trPr>
          <w:trHeight w:val="365" w:hRule="atLeast"/>
          <w:jc w:val="center"/>
        </w:trPr>
        <w:tc>
          <w:tcPr>
            <w:tcW w:w="7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8063AA">
            <w:pPr>
              <w:widowControl/>
              <w:jc w:val="center"/>
              <w:textAlignment w:val="bottom"/>
              <w:rPr>
                <w:rFonts w:hint="eastAsia" w:ascii="仿宋" w:hAnsi="仿宋" w:eastAsia="仿宋" w:cs="仿宋"/>
                <w:color w:val="000000"/>
                <w:lang w:val="en-US" w:eastAsia="zh-CN"/>
              </w:rPr>
            </w:pPr>
          </w:p>
        </w:tc>
        <w:tc>
          <w:tcPr>
            <w:tcW w:w="20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6B2D73">
            <w:pPr>
              <w:widowControl/>
              <w:jc w:val="center"/>
              <w:textAlignment w:val="center"/>
              <w:rPr>
                <w:rFonts w:hint="eastAsia"/>
                <w:sz w:val="28"/>
                <w:szCs w:val="28"/>
                <w:lang w:val="en-US" w:eastAsia="zh-CN"/>
              </w:rPr>
            </w:pPr>
          </w:p>
        </w:tc>
        <w:tc>
          <w:tcPr>
            <w:tcW w:w="71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DFDC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 w:cs="Times New Roman"/>
                <w:kern w:val="0"/>
                <w:sz w:val="22"/>
                <w:szCs w:val="22"/>
                <w:lang w:val="en-US" w:eastAsia="zh-CN" w:bidi="ar-SA"/>
              </w:rPr>
            </w:pPr>
            <w:r>
              <w:rPr>
                <w:rFonts w:hint="eastAsia" w:ascii="Times New Roman" w:hAnsi="Times New Roman" w:eastAsia="仿宋" w:cs="Times New Roman"/>
                <w:kern w:val="0"/>
                <w:sz w:val="22"/>
                <w:szCs w:val="22"/>
                <w:lang w:val="en-US" w:eastAsia="zh-CN" w:bidi="ar-SA"/>
              </w:rPr>
              <w:t>18.支持对6500+种应用平台及7600+种应用的识别和控制，支持对应用进行二级分类，类型包括媒体类、协作类、一般网络应用、商业系统等，子类包括音频流、游戏、普通商业、工业系统、物联网、文件传输、知名网站、即时通信、图片视频、社交网络等。</w:t>
            </w:r>
          </w:p>
        </w:tc>
      </w:tr>
      <w:tr w14:paraId="343BD073">
        <w:tblPrEx>
          <w:tblCellMar>
            <w:top w:w="0" w:type="dxa"/>
            <w:left w:w="108" w:type="dxa"/>
            <w:bottom w:w="0" w:type="dxa"/>
            <w:right w:w="108" w:type="dxa"/>
          </w:tblCellMar>
        </w:tblPrEx>
        <w:trPr>
          <w:trHeight w:val="365" w:hRule="atLeast"/>
          <w:jc w:val="center"/>
        </w:trPr>
        <w:tc>
          <w:tcPr>
            <w:tcW w:w="7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090B97">
            <w:pPr>
              <w:widowControl/>
              <w:jc w:val="center"/>
              <w:textAlignment w:val="bottom"/>
              <w:rPr>
                <w:rFonts w:hint="eastAsia" w:ascii="仿宋" w:hAnsi="仿宋" w:eastAsia="仿宋" w:cs="仿宋"/>
                <w:color w:val="000000"/>
                <w:lang w:val="en-US" w:eastAsia="zh-CN"/>
              </w:rPr>
            </w:pPr>
          </w:p>
        </w:tc>
        <w:tc>
          <w:tcPr>
            <w:tcW w:w="20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AD8FB8">
            <w:pPr>
              <w:widowControl/>
              <w:jc w:val="center"/>
              <w:textAlignment w:val="center"/>
              <w:rPr>
                <w:rFonts w:hint="eastAsia"/>
                <w:sz w:val="28"/>
                <w:szCs w:val="28"/>
                <w:lang w:val="en-US" w:eastAsia="zh-CN"/>
              </w:rPr>
            </w:pPr>
          </w:p>
        </w:tc>
        <w:tc>
          <w:tcPr>
            <w:tcW w:w="71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90C5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 w:cs="Times New Roman"/>
                <w:kern w:val="0"/>
                <w:sz w:val="22"/>
                <w:szCs w:val="22"/>
                <w:lang w:val="en-US" w:eastAsia="zh-CN" w:bidi="ar-SA"/>
              </w:rPr>
            </w:pPr>
            <w:r>
              <w:rPr>
                <w:rFonts w:hint="eastAsia" w:ascii="Times New Roman" w:hAnsi="Times New Roman" w:eastAsia="仿宋" w:cs="Times New Roman"/>
                <w:kern w:val="0"/>
                <w:sz w:val="22"/>
                <w:szCs w:val="22"/>
                <w:lang w:val="en-US" w:eastAsia="zh-CN" w:bidi="ar-SA"/>
              </w:rPr>
              <w:t>19.支持告警外发日志，syslog和邮件两种方式，支持3个独立的syslog外发服务器，可以指定部分或全部日志模块进行外发。</w:t>
            </w:r>
          </w:p>
        </w:tc>
      </w:tr>
      <w:tr w14:paraId="51BBCE44">
        <w:tblPrEx>
          <w:tblCellMar>
            <w:top w:w="0" w:type="dxa"/>
            <w:left w:w="108" w:type="dxa"/>
            <w:bottom w:w="0" w:type="dxa"/>
            <w:right w:w="108" w:type="dxa"/>
          </w:tblCellMar>
        </w:tblPrEx>
        <w:trPr>
          <w:trHeight w:val="365" w:hRule="atLeast"/>
          <w:jc w:val="center"/>
        </w:trPr>
        <w:tc>
          <w:tcPr>
            <w:tcW w:w="7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44601C">
            <w:pPr>
              <w:widowControl/>
              <w:jc w:val="center"/>
              <w:textAlignment w:val="bottom"/>
              <w:rPr>
                <w:rFonts w:hint="eastAsia" w:ascii="仿宋" w:hAnsi="仿宋" w:eastAsia="仿宋" w:cs="仿宋"/>
                <w:color w:val="000000"/>
                <w:lang w:val="en-US" w:eastAsia="zh-CN"/>
              </w:rPr>
            </w:pPr>
          </w:p>
        </w:tc>
        <w:tc>
          <w:tcPr>
            <w:tcW w:w="20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E92591">
            <w:pPr>
              <w:widowControl/>
              <w:jc w:val="center"/>
              <w:textAlignment w:val="center"/>
              <w:rPr>
                <w:rFonts w:hint="eastAsia"/>
                <w:sz w:val="28"/>
                <w:szCs w:val="28"/>
                <w:lang w:val="en-US" w:eastAsia="zh-CN"/>
              </w:rPr>
            </w:pPr>
          </w:p>
        </w:tc>
        <w:tc>
          <w:tcPr>
            <w:tcW w:w="71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E4CC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 w:cs="Times New Roman"/>
                <w:kern w:val="0"/>
                <w:sz w:val="22"/>
                <w:szCs w:val="22"/>
                <w:lang w:val="en-US" w:eastAsia="zh-CN" w:bidi="ar-SA"/>
              </w:rPr>
            </w:pPr>
            <w:r>
              <w:rPr>
                <w:rFonts w:hint="eastAsia" w:ascii="Times New Roman" w:hAnsi="Times New Roman" w:eastAsia="仿宋" w:cs="Times New Roman"/>
                <w:kern w:val="0"/>
                <w:sz w:val="22"/>
                <w:szCs w:val="22"/>
                <w:lang w:val="en-US" w:eastAsia="zh-CN" w:bidi="ar-SA"/>
              </w:rPr>
              <w:t>20.支持开启REST API北向接口，提供https加密能力，支持自定义对外开放端口。</w:t>
            </w:r>
          </w:p>
        </w:tc>
      </w:tr>
      <w:tr w14:paraId="3781BF2D">
        <w:tblPrEx>
          <w:tblCellMar>
            <w:top w:w="0" w:type="dxa"/>
            <w:left w:w="108" w:type="dxa"/>
            <w:bottom w:w="0" w:type="dxa"/>
            <w:right w:w="108" w:type="dxa"/>
          </w:tblCellMar>
        </w:tblPrEx>
        <w:trPr>
          <w:trHeight w:val="365" w:hRule="atLeast"/>
          <w:jc w:val="center"/>
        </w:trPr>
        <w:tc>
          <w:tcPr>
            <w:tcW w:w="7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BD571E">
            <w:pPr>
              <w:widowControl/>
              <w:jc w:val="center"/>
              <w:textAlignment w:val="bottom"/>
              <w:rPr>
                <w:rFonts w:hint="eastAsia" w:ascii="仿宋" w:hAnsi="仿宋" w:eastAsia="仿宋" w:cs="仿宋"/>
                <w:color w:val="000000"/>
                <w:lang w:val="en-US" w:eastAsia="zh-CN"/>
              </w:rPr>
            </w:pPr>
          </w:p>
        </w:tc>
        <w:tc>
          <w:tcPr>
            <w:tcW w:w="20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E47048">
            <w:pPr>
              <w:widowControl/>
              <w:jc w:val="center"/>
              <w:textAlignment w:val="center"/>
              <w:rPr>
                <w:rFonts w:hint="eastAsia"/>
                <w:sz w:val="28"/>
                <w:szCs w:val="28"/>
                <w:lang w:val="en-US" w:eastAsia="zh-CN"/>
              </w:rPr>
            </w:pPr>
          </w:p>
        </w:tc>
        <w:tc>
          <w:tcPr>
            <w:tcW w:w="71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EC5F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 w:cs="Times New Roman"/>
                <w:kern w:val="0"/>
                <w:sz w:val="22"/>
                <w:szCs w:val="22"/>
                <w:lang w:val="en-US" w:eastAsia="zh-CN" w:bidi="ar-SA"/>
              </w:rPr>
            </w:pPr>
            <w:r>
              <w:rPr>
                <w:rFonts w:hint="eastAsia" w:ascii="Times New Roman" w:hAnsi="Times New Roman" w:eastAsia="仿宋" w:cs="Times New Roman"/>
                <w:kern w:val="0"/>
                <w:sz w:val="22"/>
                <w:szCs w:val="22"/>
                <w:lang w:val="en-US" w:eastAsia="zh-CN" w:bidi="ar-SA"/>
              </w:rPr>
              <w:t>21.支持对本地账户密码进行安全强制，包括最小长度，安全级别限制，支持2-4种密码复杂度校验，比如：数字、特殊字符、大写和小写字母。</w:t>
            </w:r>
          </w:p>
        </w:tc>
      </w:tr>
      <w:tr w14:paraId="7E3EBA18">
        <w:tblPrEx>
          <w:tblCellMar>
            <w:top w:w="0" w:type="dxa"/>
            <w:left w:w="108" w:type="dxa"/>
            <w:bottom w:w="0" w:type="dxa"/>
            <w:right w:w="108" w:type="dxa"/>
          </w:tblCellMar>
        </w:tblPrEx>
        <w:trPr>
          <w:trHeight w:val="365" w:hRule="atLeast"/>
          <w:jc w:val="center"/>
        </w:trPr>
        <w:tc>
          <w:tcPr>
            <w:tcW w:w="7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D84F7D">
            <w:pPr>
              <w:widowControl/>
              <w:jc w:val="center"/>
              <w:textAlignment w:val="bottom"/>
              <w:rPr>
                <w:rFonts w:hint="eastAsia" w:ascii="仿宋" w:hAnsi="仿宋" w:eastAsia="仿宋" w:cs="仿宋"/>
                <w:color w:val="000000"/>
                <w:lang w:val="en-US" w:eastAsia="zh-CN"/>
              </w:rPr>
            </w:pPr>
          </w:p>
        </w:tc>
        <w:tc>
          <w:tcPr>
            <w:tcW w:w="20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179BCD">
            <w:pPr>
              <w:widowControl/>
              <w:jc w:val="center"/>
              <w:textAlignment w:val="center"/>
              <w:rPr>
                <w:rFonts w:hint="eastAsia"/>
                <w:sz w:val="28"/>
                <w:szCs w:val="28"/>
                <w:lang w:val="en-US" w:eastAsia="zh-CN"/>
              </w:rPr>
            </w:pPr>
          </w:p>
        </w:tc>
        <w:tc>
          <w:tcPr>
            <w:tcW w:w="71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88EC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 w:cs="Times New Roman"/>
                <w:kern w:val="0"/>
                <w:sz w:val="22"/>
                <w:szCs w:val="22"/>
                <w:lang w:val="en-US" w:eastAsia="zh-CN" w:bidi="ar-SA"/>
              </w:rPr>
            </w:pPr>
            <w:r>
              <w:rPr>
                <w:rFonts w:hint="eastAsia" w:ascii="Times New Roman" w:hAnsi="Times New Roman" w:eastAsia="仿宋" w:cs="Times New Roman"/>
                <w:kern w:val="0"/>
                <w:sz w:val="22"/>
                <w:szCs w:val="22"/>
                <w:lang w:val="en-US" w:eastAsia="zh-CN" w:bidi="ar-SA"/>
              </w:rPr>
              <w:t>22.在界面上除了支持完全备份，还需支持单独项备份，比如：接口参数、自定义规则、引擎参数等备份功能。</w:t>
            </w:r>
          </w:p>
        </w:tc>
      </w:tr>
      <w:tr w14:paraId="6B1C59B1">
        <w:tblPrEx>
          <w:tblCellMar>
            <w:top w:w="0" w:type="dxa"/>
            <w:left w:w="108" w:type="dxa"/>
            <w:bottom w:w="0" w:type="dxa"/>
            <w:right w:w="108" w:type="dxa"/>
          </w:tblCellMar>
        </w:tblPrEx>
        <w:trPr>
          <w:trHeight w:val="365" w:hRule="atLeast"/>
          <w:jc w:val="center"/>
        </w:trPr>
        <w:tc>
          <w:tcPr>
            <w:tcW w:w="7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B169AC">
            <w:pPr>
              <w:widowControl/>
              <w:jc w:val="center"/>
              <w:textAlignment w:val="bottom"/>
              <w:rPr>
                <w:rFonts w:hint="eastAsia" w:ascii="仿宋" w:hAnsi="仿宋" w:eastAsia="仿宋" w:cs="仿宋"/>
                <w:color w:val="000000"/>
                <w:lang w:val="en-US" w:eastAsia="zh-CN"/>
              </w:rPr>
            </w:pPr>
          </w:p>
        </w:tc>
        <w:tc>
          <w:tcPr>
            <w:tcW w:w="20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EF862E">
            <w:pPr>
              <w:widowControl/>
              <w:jc w:val="center"/>
              <w:textAlignment w:val="center"/>
              <w:rPr>
                <w:rFonts w:hint="eastAsia"/>
                <w:sz w:val="28"/>
                <w:szCs w:val="28"/>
                <w:lang w:val="en-US" w:eastAsia="zh-CN"/>
              </w:rPr>
            </w:pPr>
          </w:p>
        </w:tc>
        <w:tc>
          <w:tcPr>
            <w:tcW w:w="71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A0D8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 w:cs="Times New Roman"/>
                <w:kern w:val="0"/>
                <w:sz w:val="22"/>
                <w:szCs w:val="22"/>
                <w:lang w:val="en-US" w:eastAsia="zh-CN" w:bidi="ar-SA"/>
              </w:rPr>
            </w:pPr>
            <w:r>
              <w:rPr>
                <w:rFonts w:hint="eastAsia" w:ascii="Times New Roman" w:hAnsi="Times New Roman" w:eastAsia="仿宋" w:cs="Times New Roman"/>
                <w:kern w:val="0"/>
                <w:sz w:val="22"/>
                <w:szCs w:val="22"/>
                <w:lang w:val="en-US" w:eastAsia="zh-CN" w:bidi="ar-SA"/>
              </w:rPr>
              <w:t>23.按照《信息安全技术 网络安全专用产品安全技术要求》等相关国家标准强制性要求，提供由具备资格的机构安全认证合格或安全检测符合要求的证明材料；或提供在有效期内的《计算机信息系统安全专用产品销售许可证》。</w:t>
            </w:r>
          </w:p>
        </w:tc>
      </w:tr>
      <w:tr w14:paraId="7FB8BCCF">
        <w:tblPrEx>
          <w:tblCellMar>
            <w:top w:w="0" w:type="dxa"/>
            <w:left w:w="108" w:type="dxa"/>
            <w:bottom w:w="0" w:type="dxa"/>
            <w:right w:w="108" w:type="dxa"/>
          </w:tblCellMar>
        </w:tblPrEx>
        <w:trPr>
          <w:trHeight w:val="365" w:hRule="atLeast"/>
          <w:jc w:val="center"/>
        </w:trPr>
        <w:tc>
          <w:tcPr>
            <w:tcW w:w="7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0D1C2A">
            <w:pPr>
              <w:widowControl/>
              <w:jc w:val="center"/>
              <w:textAlignment w:val="bottom"/>
              <w:rPr>
                <w:rFonts w:hint="eastAsia" w:ascii="仿宋" w:hAnsi="仿宋" w:eastAsia="仿宋" w:cs="仿宋"/>
                <w:color w:val="000000"/>
                <w:lang w:val="en-US" w:eastAsia="zh-CN"/>
              </w:rPr>
            </w:pPr>
          </w:p>
        </w:tc>
        <w:tc>
          <w:tcPr>
            <w:tcW w:w="20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168375">
            <w:pPr>
              <w:widowControl/>
              <w:jc w:val="center"/>
              <w:textAlignment w:val="center"/>
              <w:rPr>
                <w:rFonts w:hint="eastAsia"/>
                <w:sz w:val="28"/>
                <w:szCs w:val="28"/>
                <w:lang w:val="en-US" w:eastAsia="zh-CN"/>
              </w:rPr>
            </w:pPr>
          </w:p>
        </w:tc>
        <w:tc>
          <w:tcPr>
            <w:tcW w:w="71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FFEB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 w:cs="Times New Roman"/>
                <w:kern w:val="0"/>
                <w:sz w:val="22"/>
                <w:szCs w:val="22"/>
                <w:lang w:val="en-US" w:eastAsia="zh-CN" w:bidi="ar-SA"/>
              </w:rPr>
            </w:pPr>
            <w:r>
              <w:rPr>
                <w:rFonts w:hint="eastAsia" w:ascii="Times New Roman" w:hAnsi="Times New Roman" w:eastAsia="仿宋" w:cs="Times New Roman"/>
                <w:kern w:val="0"/>
                <w:sz w:val="22"/>
                <w:szCs w:val="22"/>
                <w:lang w:val="en-US" w:eastAsia="zh-CN" w:bidi="ar-SA"/>
              </w:rPr>
              <w:t>24..产品具备《国家信息安全测评信息技术产品安全测评证书》（EAL4+级）和《国家信息安全测评自主原创产品测评证书》。（</w:t>
            </w:r>
            <w:bookmarkStart w:id="1" w:name="OLE_LINK2"/>
            <w:r>
              <w:rPr>
                <w:rFonts w:hint="eastAsia" w:ascii="Times New Roman" w:hAnsi="Times New Roman" w:eastAsia="仿宋" w:cs="Times New Roman"/>
                <w:kern w:val="0"/>
                <w:sz w:val="22"/>
                <w:szCs w:val="22"/>
                <w:lang w:val="en-US" w:eastAsia="zh-CN" w:bidi="ar-SA"/>
              </w:rPr>
              <w:t>需提供有效证书复印件</w:t>
            </w:r>
            <w:bookmarkEnd w:id="1"/>
            <w:r>
              <w:rPr>
                <w:rFonts w:hint="eastAsia" w:ascii="Times New Roman" w:hAnsi="Times New Roman" w:eastAsia="仿宋" w:cs="Times New Roman"/>
                <w:kern w:val="0"/>
                <w:sz w:val="22"/>
                <w:szCs w:val="22"/>
                <w:lang w:val="en-US" w:eastAsia="zh-CN" w:bidi="ar-SA"/>
              </w:rPr>
              <w:t>）</w:t>
            </w:r>
          </w:p>
        </w:tc>
      </w:tr>
      <w:tr w14:paraId="3B0BE665">
        <w:tblPrEx>
          <w:tblCellMar>
            <w:top w:w="0" w:type="dxa"/>
            <w:left w:w="108" w:type="dxa"/>
            <w:bottom w:w="0" w:type="dxa"/>
            <w:right w:w="108" w:type="dxa"/>
          </w:tblCellMar>
        </w:tblPrEx>
        <w:trPr>
          <w:trHeight w:val="365" w:hRule="atLeast"/>
          <w:jc w:val="center"/>
        </w:trPr>
        <w:tc>
          <w:tcPr>
            <w:tcW w:w="7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A8CDDA">
            <w:pPr>
              <w:widowControl/>
              <w:jc w:val="center"/>
              <w:textAlignment w:val="bottom"/>
              <w:rPr>
                <w:rFonts w:hint="eastAsia" w:ascii="仿宋" w:hAnsi="仿宋" w:eastAsia="仿宋" w:cs="仿宋"/>
                <w:color w:val="000000"/>
                <w:lang w:val="en-US" w:eastAsia="zh-CN"/>
              </w:rPr>
            </w:pPr>
          </w:p>
        </w:tc>
        <w:tc>
          <w:tcPr>
            <w:tcW w:w="20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4160E1">
            <w:pPr>
              <w:widowControl/>
              <w:jc w:val="center"/>
              <w:textAlignment w:val="center"/>
              <w:rPr>
                <w:rFonts w:hint="eastAsia"/>
                <w:sz w:val="28"/>
                <w:szCs w:val="28"/>
                <w:lang w:val="en-US" w:eastAsia="zh-CN"/>
              </w:rPr>
            </w:pPr>
          </w:p>
        </w:tc>
        <w:tc>
          <w:tcPr>
            <w:tcW w:w="71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572C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 w:cs="Times New Roman"/>
                <w:kern w:val="0"/>
                <w:sz w:val="22"/>
                <w:szCs w:val="22"/>
                <w:lang w:val="en-US" w:eastAsia="zh-CN" w:bidi="ar-SA"/>
              </w:rPr>
            </w:pPr>
            <w:r>
              <w:rPr>
                <w:rFonts w:hint="eastAsia" w:ascii="Times New Roman" w:hAnsi="Times New Roman" w:eastAsia="仿宋" w:cs="Times New Roman"/>
                <w:kern w:val="0"/>
                <w:sz w:val="22"/>
                <w:szCs w:val="22"/>
                <w:lang w:val="en-US" w:eastAsia="zh-CN" w:bidi="ar-SA"/>
              </w:rPr>
              <w:t>25.提供入侵防御、防病毒、URL过滤、应用管理、流量管理、SSL VPN、虚拟防火墙等功能，提供三年产品质保及特征库升级服务。</w:t>
            </w:r>
          </w:p>
        </w:tc>
      </w:tr>
    </w:tbl>
    <w:p w14:paraId="6FE39AA9">
      <w:pPr>
        <w:keepNext w:val="0"/>
        <w:keepLines w:val="0"/>
        <w:pageBreakBefore w:val="0"/>
        <w:widowControl w:val="0"/>
        <w:numPr>
          <w:ilvl w:val="0"/>
          <w:numId w:val="3"/>
        </w:numPr>
        <w:kinsoku/>
        <w:wordWrap/>
        <w:overflowPunct/>
        <w:topLinePunct w:val="0"/>
        <w:autoSpaceDE w:val="0"/>
        <w:autoSpaceDN w:val="0"/>
        <w:bidi w:val="0"/>
        <w:adjustRightInd/>
        <w:snapToGrid/>
        <w:spacing w:line="360" w:lineRule="auto"/>
        <w:textAlignment w:val="auto"/>
        <w:outlineLvl w:val="1"/>
        <w:rPr>
          <w:rFonts w:hint="eastAsia"/>
          <w:lang w:val="zh-CN" w:eastAsia="zh-CN"/>
        </w:rPr>
      </w:pPr>
      <w:r>
        <w:rPr>
          <w:rFonts w:hint="eastAsia" w:eastAsiaTheme="minorEastAsia" w:cstheme="minorBidi"/>
          <w:b/>
          <w:kern w:val="0"/>
          <w:sz w:val="28"/>
          <w:szCs w:val="20"/>
          <w:lang w:val="en-US" w:eastAsia="zh-CN" w:bidi="ar-SA"/>
        </w:rPr>
        <w:t>商务</w:t>
      </w:r>
      <w:r>
        <w:rPr>
          <w:rFonts w:hint="eastAsia" w:eastAsiaTheme="minorEastAsia" w:cstheme="minorBidi"/>
          <w:b/>
          <w:kern w:val="0"/>
          <w:sz w:val="28"/>
          <w:szCs w:val="20"/>
          <w:lang w:val="zh-CN" w:eastAsia="zh-CN" w:bidi="ar-SA"/>
        </w:rPr>
        <w:t>要求</w:t>
      </w:r>
    </w:p>
    <w:tbl>
      <w:tblPr>
        <w:tblStyle w:val="15"/>
        <w:tblpPr w:leftFromText="180" w:rightFromText="180" w:vertAnchor="text" w:horzAnchor="page" w:tblpX="966" w:tblpY="964"/>
        <w:tblOverlap w:val="never"/>
        <w:tblW w:w="99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35"/>
        <w:gridCol w:w="2040"/>
        <w:gridCol w:w="7200"/>
      </w:tblGrid>
      <w:tr w14:paraId="3B0A7A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35" w:type="dxa"/>
            <w:tcBorders>
              <w:tl2br w:val="nil"/>
              <w:tr2bl w:val="nil"/>
            </w:tcBorders>
            <w:vAlign w:val="center"/>
          </w:tcPr>
          <w:p w14:paraId="239B657D">
            <w:pPr>
              <w:pStyle w:val="25"/>
              <w:spacing w:line="300" w:lineRule="auto"/>
              <w:jc w:val="center"/>
              <w:rPr>
                <w:rFonts w:ascii="Times New Roman" w:hAnsi="Times New Roman" w:eastAsia="仿宋" w:cs="Times New Roman"/>
                <w:b/>
                <w:sz w:val="22"/>
                <w:szCs w:val="22"/>
                <w:lang w:val="zh-CN"/>
              </w:rPr>
            </w:pPr>
            <w:r>
              <w:rPr>
                <w:rFonts w:ascii="Times New Roman" w:hAnsi="Times New Roman" w:eastAsia="仿宋" w:cs="Times New Roman"/>
                <w:b/>
                <w:sz w:val="22"/>
                <w:szCs w:val="22"/>
                <w:lang w:val="zh-CN"/>
              </w:rPr>
              <w:t>序号</w:t>
            </w:r>
          </w:p>
        </w:tc>
        <w:tc>
          <w:tcPr>
            <w:tcW w:w="2040" w:type="dxa"/>
            <w:tcBorders>
              <w:tl2br w:val="nil"/>
              <w:tr2bl w:val="nil"/>
            </w:tcBorders>
            <w:vAlign w:val="center"/>
          </w:tcPr>
          <w:p w14:paraId="09E3EF77">
            <w:pPr>
              <w:pStyle w:val="25"/>
              <w:spacing w:line="300" w:lineRule="auto"/>
              <w:jc w:val="center"/>
              <w:rPr>
                <w:rFonts w:ascii="Times New Roman" w:hAnsi="Times New Roman" w:eastAsia="仿宋" w:cs="Times New Roman"/>
                <w:b/>
                <w:sz w:val="22"/>
                <w:szCs w:val="22"/>
                <w:lang w:val="zh-CN"/>
              </w:rPr>
            </w:pPr>
            <w:r>
              <w:rPr>
                <w:rFonts w:ascii="Times New Roman" w:hAnsi="Times New Roman" w:eastAsia="仿宋" w:cs="Times New Roman"/>
                <w:b/>
                <w:sz w:val="22"/>
                <w:szCs w:val="22"/>
                <w:lang w:val="zh-CN"/>
              </w:rPr>
              <w:t>内容</w:t>
            </w:r>
          </w:p>
        </w:tc>
        <w:tc>
          <w:tcPr>
            <w:tcW w:w="7200" w:type="dxa"/>
            <w:tcBorders>
              <w:tl2br w:val="nil"/>
              <w:tr2bl w:val="nil"/>
            </w:tcBorders>
            <w:vAlign w:val="center"/>
          </w:tcPr>
          <w:p w14:paraId="7A66E8F8">
            <w:pPr>
              <w:pStyle w:val="25"/>
              <w:spacing w:line="300" w:lineRule="auto"/>
              <w:ind w:left="240" w:leftChars="100"/>
              <w:jc w:val="center"/>
              <w:rPr>
                <w:rFonts w:ascii="Times New Roman" w:hAnsi="Times New Roman" w:eastAsia="仿宋" w:cs="Times New Roman"/>
                <w:b/>
                <w:sz w:val="22"/>
                <w:szCs w:val="22"/>
                <w:lang w:val="zh-CN"/>
              </w:rPr>
            </w:pPr>
            <w:r>
              <w:rPr>
                <w:rFonts w:ascii="Times New Roman" w:hAnsi="Times New Roman" w:eastAsia="仿宋" w:cs="Times New Roman"/>
                <w:b/>
                <w:sz w:val="22"/>
                <w:szCs w:val="22"/>
                <w:lang w:val="zh-CN"/>
              </w:rPr>
              <w:t>要求</w:t>
            </w:r>
          </w:p>
        </w:tc>
      </w:tr>
      <w:tr w14:paraId="54F98C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35" w:type="dxa"/>
            <w:tcBorders>
              <w:tl2br w:val="nil"/>
              <w:tr2bl w:val="nil"/>
            </w:tcBorders>
            <w:vAlign w:val="center"/>
          </w:tcPr>
          <w:p w14:paraId="21080967">
            <w:pPr>
              <w:pStyle w:val="25"/>
              <w:spacing w:line="300" w:lineRule="auto"/>
              <w:jc w:val="center"/>
              <w:rPr>
                <w:rFonts w:ascii="Times New Roman" w:hAnsi="Times New Roman" w:eastAsia="仿宋" w:cs="Times New Roman"/>
                <w:sz w:val="22"/>
                <w:szCs w:val="22"/>
                <w:lang w:val="zh-CN"/>
              </w:rPr>
            </w:pPr>
            <w:r>
              <w:rPr>
                <w:rFonts w:ascii="Times New Roman" w:hAnsi="Times New Roman" w:eastAsia="仿宋" w:cs="Times New Roman"/>
                <w:sz w:val="22"/>
                <w:szCs w:val="22"/>
                <w:lang w:val="zh-CN"/>
              </w:rPr>
              <w:t>1</w:t>
            </w:r>
          </w:p>
        </w:tc>
        <w:tc>
          <w:tcPr>
            <w:tcW w:w="2040" w:type="dxa"/>
            <w:tcBorders>
              <w:tl2br w:val="nil"/>
              <w:tr2bl w:val="nil"/>
            </w:tcBorders>
            <w:vAlign w:val="center"/>
          </w:tcPr>
          <w:p w14:paraId="1CBD7B43">
            <w:pPr>
              <w:pStyle w:val="25"/>
              <w:spacing w:line="300" w:lineRule="auto"/>
              <w:jc w:val="center"/>
              <w:rPr>
                <w:rFonts w:ascii="Times New Roman" w:hAnsi="Times New Roman" w:eastAsia="仿宋" w:cs="Times New Roman"/>
                <w:sz w:val="22"/>
                <w:szCs w:val="22"/>
                <w:lang w:val="zh-CN"/>
              </w:rPr>
            </w:pPr>
            <w:r>
              <w:rPr>
                <w:rFonts w:ascii="Times New Roman" w:hAnsi="Times New Roman" w:eastAsia="仿宋" w:cs="Times New Roman"/>
                <w:sz w:val="22"/>
                <w:szCs w:val="22"/>
                <w:lang w:val="zh-CN"/>
              </w:rPr>
              <w:t>项目完成时间</w:t>
            </w:r>
          </w:p>
        </w:tc>
        <w:tc>
          <w:tcPr>
            <w:tcW w:w="7200" w:type="dxa"/>
            <w:tcBorders>
              <w:tl2br w:val="nil"/>
              <w:tr2bl w:val="nil"/>
            </w:tcBorders>
            <w:vAlign w:val="center"/>
          </w:tcPr>
          <w:p w14:paraId="2C963F9B">
            <w:pPr>
              <w:pStyle w:val="25"/>
              <w:spacing w:line="300" w:lineRule="auto"/>
              <w:ind w:left="240" w:leftChars="100"/>
              <w:jc w:val="both"/>
              <w:rPr>
                <w:rFonts w:ascii="Times New Roman" w:hAnsi="Times New Roman" w:eastAsia="仿宋" w:cs="Times New Roman"/>
                <w:sz w:val="22"/>
                <w:szCs w:val="22"/>
                <w:lang w:val="zh-CN"/>
              </w:rPr>
            </w:pPr>
            <w:r>
              <w:rPr>
                <w:rFonts w:ascii="Times New Roman" w:hAnsi="Times New Roman" w:eastAsia="仿宋" w:cs="Times New Roman"/>
                <w:sz w:val="22"/>
                <w:szCs w:val="22"/>
                <w:lang w:val="zh-CN"/>
              </w:rPr>
              <w:t>采购合同签订后</w:t>
            </w:r>
            <w:r>
              <w:rPr>
                <w:rFonts w:hint="eastAsia" w:ascii="Times New Roman" w:hAnsi="Times New Roman" w:eastAsia="仿宋" w:cs="Times New Roman"/>
                <w:b/>
                <w:bCs/>
                <w:sz w:val="22"/>
                <w:szCs w:val="22"/>
                <w:lang w:val="en-US" w:eastAsia="zh-CN"/>
              </w:rPr>
              <w:t>10个工作日</w:t>
            </w:r>
            <w:r>
              <w:rPr>
                <w:rFonts w:ascii="Times New Roman" w:hAnsi="Times New Roman" w:eastAsia="仿宋" w:cs="Times New Roman"/>
                <w:sz w:val="22"/>
                <w:szCs w:val="22"/>
                <w:lang w:val="zh-CN"/>
              </w:rPr>
              <w:t>内，完成货物交付和安装、调试，交付采购人验收</w:t>
            </w:r>
          </w:p>
        </w:tc>
      </w:tr>
      <w:tr w14:paraId="5EF261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35" w:type="dxa"/>
            <w:tcBorders>
              <w:tl2br w:val="nil"/>
              <w:tr2bl w:val="nil"/>
            </w:tcBorders>
            <w:vAlign w:val="center"/>
          </w:tcPr>
          <w:p w14:paraId="6CFD1788">
            <w:pPr>
              <w:pStyle w:val="25"/>
              <w:spacing w:line="300" w:lineRule="auto"/>
              <w:jc w:val="center"/>
              <w:rPr>
                <w:rFonts w:hint="eastAsia" w:ascii="Times New Roman" w:hAnsi="Times New Roman" w:eastAsia="仿宋" w:cs="Times New Roman"/>
                <w:sz w:val="22"/>
                <w:szCs w:val="22"/>
                <w:lang w:val="en-US" w:eastAsia="zh-CN"/>
              </w:rPr>
            </w:pPr>
            <w:r>
              <w:rPr>
                <w:rFonts w:hint="eastAsia" w:ascii="Times New Roman" w:hAnsi="Times New Roman" w:eastAsia="仿宋" w:cs="Times New Roman"/>
                <w:sz w:val="22"/>
                <w:szCs w:val="22"/>
                <w:lang w:val="en-US" w:eastAsia="zh-CN"/>
              </w:rPr>
              <w:t>2</w:t>
            </w:r>
          </w:p>
        </w:tc>
        <w:tc>
          <w:tcPr>
            <w:tcW w:w="2040" w:type="dxa"/>
            <w:tcBorders>
              <w:tl2br w:val="nil"/>
              <w:tr2bl w:val="nil"/>
            </w:tcBorders>
            <w:vAlign w:val="center"/>
          </w:tcPr>
          <w:p w14:paraId="2A981663">
            <w:pPr>
              <w:pStyle w:val="25"/>
              <w:spacing w:line="300" w:lineRule="auto"/>
              <w:jc w:val="center"/>
              <w:rPr>
                <w:rFonts w:ascii="Times New Roman" w:hAnsi="Times New Roman" w:eastAsia="仿宋" w:cs="Times New Roman"/>
                <w:sz w:val="22"/>
                <w:szCs w:val="22"/>
                <w:lang w:val="zh-CN"/>
              </w:rPr>
            </w:pPr>
            <w:r>
              <w:rPr>
                <w:rFonts w:hint="eastAsia" w:ascii="Times New Roman" w:hAnsi="Times New Roman" w:eastAsia="仿宋" w:cs="Times New Roman"/>
                <w:kern w:val="2"/>
                <w:sz w:val="22"/>
                <w:szCs w:val="22"/>
                <w:lang w:val="en-US" w:eastAsia="zh-CN" w:bidi="ar-SA"/>
              </w:rPr>
              <w:t>服务内容</w:t>
            </w:r>
          </w:p>
        </w:tc>
        <w:tc>
          <w:tcPr>
            <w:tcW w:w="7200" w:type="dxa"/>
            <w:tcBorders>
              <w:tl2br w:val="nil"/>
              <w:tr2bl w:val="nil"/>
            </w:tcBorders>
            <w:vAlign w:val="center"/>
          </w:tcPr>
          <w:p w14:paraId="588785E0">
            <w:pPr>
              <w:pStyle w:val="25"/>
              <w:numPr>
                <w:ilvl w:val="0"/>
                <w:numId w:val="4"/>
              </w:numPr>
              <w:spacing w:line="300" w:lineRule="auto"/>
              <w:ind w:left="240" w:leftChars="100"/>
              <w:jc w:val="both"/>
              <w:rPr>
                <w:rFonts w:hint="eastAsia" w:ascii="Times New Roman" w:hAnsi="Times New Roman" w:eastAsia="仿宋" w:cs="Times New Roman"/>
                <w:b/>
                <w:bCs/>
                <w:kern w:val="2"/>
                <w:sz w:val="22"/>
                <w:szCs w:val="22"/>
                <w:lang w:val="en-US" w:eastAsia="zh-CN" w:bidi="ar-SA"/>
              </w:rPr>
            </w:pPr>
            <w:r>
              <w:rPr>
                <w:rFonts w:hint="eastAsia" w:ascii="Times New Roman" w:hAnsi="Times New Roman" w:eastAsia="仿宋" w:cs="Times New Roman"/>
                <w:kern w:val="2"/>
                <w:sz w:val="22"/>
                <w:szCs w:val="22"/>
                <w:lang w:val="en-US" w:eastAsia="zh-CN" w:bidi="ar-SA"/>
              </w:rPr>
              <w:t>本次采购</w:t>
            </w:r>
            <w:r>
              <w:rPr>
                <w:rFonts w:hint="eastAsia" w:ascii="Times New Roman" w:hAnsi="Times New Roman" w:eastAsia="仿宋" w:cs="Times New Roman"/>
                <w:b/>
                <w:bCs/>
                <w:kern w:val="2"/>
                <w:sz w:val="22"/>
                <w:szCs w:val="22"/>
                <w:lang w:val="en-US" w:eastAsia="zh-CN" w:bidi="ar-SA"/>
              </w:rPr>
              <w:t>含专网通道建设费（一次性）+90张物联网卡开卡费（一次性）+90张物联网卡1年流量费</w:t>
            </w:r>
          </w:p>
          <w:p w14:paraId="0587E951">
            <w:pPr>
              <w:pStyle w:val="25"/>
              <w:numPr>
                <w:ilvl w:val="0"/>
                <w:numId w:val="4"/>
              </w:numPr>
              <w:spacing w:line="300" w:lineRule="auto"/>
              <w:ind w:left="240" w:leftChars="100"/>
              <w:jc w:val="both"/>
              <w:rPr>
                <w:rFonts w:hint="default" w:ascii="Times New Roman" w:hAnsi="Times New Roman" w:eastAsia="仿宋" w:cs="Times New Roman"/>
                <w:b/>
                <w:bCs/>
                <w:kern w:val="2"/>
                <w:sz w:val="22"/>
                <w:szCs w:val="22"/>
                <w:lang w:val="en-US" w:eastAsia="zh-CN" w:bidi="ar-SA"/>
              </w:rPr>
            </w:pPr>
            <w:r>
              <w:rPr>
                <w:rFonts w:hint="eastAsia" w:ascii="Times New Roman" w:hAnsi="Times New Roman" w:eastAsia="仿宋" w:cs="Times New Roman"/>
                <w:kern w:val="0"/>
                <w:sz w:val="22"/>
                <w:szCs w:val="22"/>
                <w:lang w:val="en-US" w:eastAsia="zh-CN" w:bidi="ar-SA"/>
              </w:rPr>
              <w:t>服务期限：提供3年期的专网流量卡使用服务，流量费用一年一付。本次为第一年。</w:t>
            </w:r>
          </w:p>
        </w:tc>
      </w:tr>
      <w:tr w14:paraId="1244EC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735" w:type="dxa"/>
            <w:tcBorders>
              <w:tl2br w:val="nil"/>
              <w:tr2bl w:val="nil"/>
            </w:tcBorders>
            <w:vAlign w:val="center"/>
          </w:tcPr>
          <w:p w14:paraId="22BAA4AC">
            <w:pPr>
              <w:pStyle w:val="25"/>
              <w:spacing w:line="300" w:lineRule="auto"/>
              <w:jc w:val="center"/>
              <w:rPr>
                <w:rFonts w:hint="eastAsia" w:ascii="Times New Roman" w:hAnsi="Times New Roman" w:eastAsia="仿宋" w:cs="Times New Roman"/>
                <w:sz w:val="22"/>
                <w:szCs w:val="22"/>
                <w:lang w:val="zh-CN" w:eastAsia="zh-CN"/>
              </w:rPr>
            </w:pPr>
            <w:r>
              <w:rPr>
                <w:rFonts w:hint="eastAsia" w:ascii="Times New Roman" w:hAnsi="Times New Roman" w:eastAsia="仿宋" w:cs="Times New Roman"/>
                <w:sz w:val="22"/>
                <w:szCs w:val="22"/>
                <w:lang w:val="en-US" w:eastAsia="zh-CN"/>
              </w:rPr>
              <w:t>3</w:t>
            </w:r>
          </w:p>
        </w:tc>
        <w:tc>
          <w:tcPr>
            <w:tcW w:w="2040" w:type="dxa"/>
            <w:tcBorders>
              <w:tl2br w:val="nil"/>
              <w:tr2bl w:val="nil"/>
            </w:tcBorders>
            <w:vAlign w:val="center"/>
          </w:tcPr>
          <w:p w14:paraId="1610B6AE">
            <w:pPr>
              <w:pStyle w:val="25"/>
              <w:spacing w:line="300" w:lineRule="auto"/>
              <w:jc w:val="center"/>
              <w:rPr>
                <w:rFonts w:ascii="Times New Roman" w:hAnsi="Times New Roman" w:eastAsia="仿宋" w:cs="Times New Roman"/>
                <w:sz w:val="22"/>
                <w:szCs w:val="22"/>
                <w:lang w:val="zh-CN"/>
              </w:rPr>
            </w:pPr>
            <w:r>
              <w:rPr>
                <w:rFonts w:hint="eastAsia" w:ascii="Times New Roman" w:hAnsi="Times New Roman" w:eastAsia="仿宋" w:cs="Times New Roman"/>
                <w:sz w:val="22"/>
                <w:szCs w:val="22"/>
                <w:lang w:val="zh-CN"/>
              </w:rPr>
              <w:t>售后服务</w:t>
            </w:r>
          </w:p>
        </w:tc>
        <w:tc>
          <w:tcPr>
            <w:tcW w:w="7200" w:type="dxa"/>
            <w:tcBorders>
              <w:tl2br w:val="nil"/>
              <w:tr2bl w:val="nil"/>
            </w:tcBorders>
            <w:vAlign w:val="center"/>
          </w:tcPr>
          <w:p w14:paraId="43426466">
            <w:pPr>
              <w:numPr>
                <w:ilvl w:val="2"/>
                <w:numId w:val="0"/>
              </w:numPr>
              <w:ind w:leftChars="100"/>
              <w:jc w:val="left"/>
              <w:rPr>
                <w:rFonts w:hint="eastAsia" w:ascii="Times New Roman" w:hAnsi="Times New Roman" w:eastAsia="仿宋" w:cs="Times New Roman"/>
                <w:kern w:val="0"/>
                <w:sz w:val="22"/>
                <w:szCs w:val="22"/>
                <w:lang w:val="en-US" w:eastAsia="zh-CN" w:bidi="ar-SA"/>
              </w:rPr>
            </w:pPr>
            <w:r>
              <w:rPr>
                <w:rFonts w:hint="eastAsia" w:ascii="Times New Roman" w:hAnsi="Times New Roman" w:eastAsia="仿宋" w:cs="Times New Roman"/>
                <w:sz w:val="22"/>
                <w:szCs w:val="22"/>
                <w:lang w:val="en-US" w:eastAsia="zh-CN"/>
              </w:rPr>
              <w:t>1.</w:t>
            </w:r>
            <w:r>
              <w:rPr>
                <w:rFonts w:hint="eastAsia" w:ascii="Times New Roman" w:hAnsi="Times New Roman" w:eastAsia="仿宋" w:cs="Times New Roman"/>
                <w:sz w:val="22"/>
                <w:szCs w:val="22"/>
                <w:lang w:val="zh-CN"/>
              </w:rPr>
              <w:t>质保期：</w:t>
            </w:r>
            <w:r>
              <w:rPr>
                <w:rFonts w:hint="eastAsia" w:ascii="Times New Roman" w:hAnsi="Times New Roman" w:eastAsia="仿宋" w:cs="Times New Roman"/>
                <w:b/>
                <w:bCs/>
                <w:sz w:val="22"/>
                <w:szCs w:val="22"/>
                <w:lang w:val="zh-CN"/>
              </w:rPr>
              <w:t>从项目验收通过之日起，</w:t>
            </w:r>
            <w:r>
              <w:rPr>
                <w:rFonts w:hint="eastAsia" w:ascii="Times New Roman" w:hAnsi="Times New Roman" w:eastAsia="仿宋" w:cs="Times New Roman"/>
                <w:b/>
                <w:bCs/>
                <w:sz w:val="22"/>
                <w:szCs w:val="22"/>
                <w:lang w:val="en-US" w:eastAsia="zh-CN"/>
              </w:rPr>
              <w:t>长期</w:t>
            </w:r>
            <w:r>
              <w:rPr>
                <w:rFonts w:hint="eastAsia" w:ascii="Times New Roman" w:hAnsi="Times New Roman" w:eastAsia="仿宋" w:cs="Times New Roman"/>
                <w:b/>
                <w:bCs/>
                <w:sz w:val="22"/>
                <w:szCs w:val="22"/>
                <w:lang w:val="zh-CN"/>
              </w:rPr>
              <w:t>质保</w:t>
            </w:r>
            <w:r>
              <w:rPr>
                <w:rFonts w:hint="eastAsia" w:ascii="Times New Roman" w:hAnsi="Times New Roman" w:eastAsia="仿宋" w:cs="Times New Roman"/>
                <w:sz w:val="22"/>
                <w:szCs w:val="22"/>
                <w:lang w:val="zh-CN"/>
              </w:rPr>
              <w:t>。质保期内，进行现场、远程、电话方式提供服务，质保期内项目的维护服务费</w:t>
            </w:r>
            <w:r>
              <w:rPr>
                <w:rFonts w:hint="eastAsia" w:ascii="Times New Roman" w:hAnsi="Times New Roman" w:eastAsia="仿宋" w:cs="Times New Roman"/>
                <w:sz w:val="22"/>
                <w:szCs w:val="22"/>
              </w:rPr>
              <w:t>用包含于项目总价中</w:t>
            </w:r>
            <w:r>
              <w:rPr>
                <w:rFonts w:hint="eastAsia" w:ascii="Times New Roman" w:hAnsi="Times New Roman" w:eastAsia="仿宋" w:cs="Times New Roman"/>
                <w:sz w:val="22"/>
                <w:szCs w:val="22"/>
                <w:lang w:val="zh-CN"/>
              </w:rPr>
              <w:t>。</w:t>
            </w:r>
            <w:r>
              <w:rPr>
                <w:rFonts w:hint="eastAsia" w:ascii="Times New Roman" w:hAnsi="Times New Roman" w:eastAsia="仿宋" w:cs="Times New Roman"/>
                <w:b/>
                <w:bCs/>
                <w:sz w:val="22"/>
                <w:szCs w:val="22"/>
                <w:lang w:val="zh-CN"/>
              </w:rPr>
              <w:t>（提供承诺函）</w:t>
            </w:r>
          </w:p>
          <w:p w14:paraId="22B6EE67">
            <w:pPr>
              <w:pStyle w:val="25"/>
              <w:spacing w:line="300" w:lineRule="auto"/>
              <w:ind w:left="240" w:leftChars="100"/>
              <w:jc w:val="both"/>
              <w:rPr>
                <w:rFonts w:hint="default" w:ascii="Times New Roman" w:hAnsi="Times New Roman" w:eastAsia="仿宋" w:cs="Times New Roman"/>
                <w:kern w:val="0"/>
                <w:sz w:val="22"/>
                <w:szCs w:val="22"/>
                <w:lang w:val="en-US" w:eastAsia="zh-CN" w:bidi="ar-SA"/>
              </w:rPr>
            </w:pPr>
            <w:r>
              <w:rPr>
                <w:rFonts w:hint="eastAsia" w:ascii="Times New Roman" w:hAnsi="Times New Roman" w:eastAsia="仿宋" w:cs="Times New Roman"/>
                <w:kern w:val="0"/>
                <w:sz w:val="22"/>
                <w:szCs w:val="22"/>
                <w:lang w:val="en-US" w:eastAsia="zh-CN" w:bidi="ar-SA"/>
              </w:rPr>
              <w:t>2.提供操作培训（现场+视频教程）</w:t>
            </w:r>
          </w:p>
          <w:p w14:paraId="481ED29C">
            <w:pPr>
              <w:pStyle w:val="25"/>
              <w:spacing w:line="300" w:lineRule="auto"/>
              <w:ind w:left="240" w:leftChars="100"/>
              <w:jc w:val="both"/>
              <w:rPr>
                <w:rFonts w:hint="eastAsia" w:ascii="Times New Roman" w:hAnsi="Times New Roman" w:eastAsia="仿宋" w:cs="Times New Roman"/>
                <w:b/>
                <w:bCs/>
                <w:sz w:val="22"/>
                <w:szCs w:val="22"/>
                <w:lang w:val="zh-CN"/>
              </w:rPr>
            </w:pPr>
            <w:r>
              <w:rPr>
                <w:rFonts w:hint="eastAsia" w:ascii="Times New Roman" w:hAnsi="Times New Roman" w:eastAsia="仿宋" w:cs="Times New Roman"/>
                <w:sz w:val="22"/>
                <w:szCs w:val="22"/>
                <w:lang w:val="en-US" w:eastAsia="zh-CN"/>
              </w:rPr>
              <w:t>3.</w:t>
            </w:r>
            <w:r>
              <w:rPr>
                <w:rFonts w:hint="eastAsia" w:ascii="Times New Roman" w:hAnsi="Times New Roman" w:eastAsia="仿宋" w:cs="Times New Roman"/>
                <w:sz w:val="22"/>
                <w:szCs w:val="22"/>
                <w:lang w:val="zh-CN"/>
              </w:rPr>
              <w:t>故障响应：针对本项目，</w:t>
            </w:r>
            <w:r>
              <w:rPr>
                <w:rFonts w:hint="eastAsia" w:ascii="Times New Roman" w:hAnsi="Times New Roman" w:eastAsia="仿宋" w:cs="Times New Roman"/>
                <w:sz w:val="22"/>
                <w:szCs w:val="22"/>
              </w:rPr>
              <w:t>供应商</w:t>
            </w:r>
            <w:r>
              <w:rPr>
                <w:rFonts w:hint="eastAsia" w:ascii="Times New Roman" w:hAnsi="Times New Roman" w:eastAsia="仿宋" w:cs="Times New Roman"/>
                <w:sz w:val="22"/>
                <w:szCs w:val="22"/>
                <w:lang w:val="zh-CN"/>
              </w:rPr>
              <w:t>至少需提供7×24小时热线电话、远程网络、现场服务方式。热线电话和远程网络提供技术咨询和即时服务，接到故障通知后，30分钟内作出处理方案，如30分钟内无法电话解决故障，必须在1小时之内能到达现场（含节假日）。故障解决后3天内向院方提交故障报告，详细说明故障解决过程、故障原因和预防措施以备案。</w:t>
            </w:r>
            <w:r>
              <w:rPr>
                <w:rFonts w:hint="eastAsia" w:ascii="Times New Roman" w:hAnsi="Times New Roman" w:eastAsia="仿宋" w:cs="Times New Roman"/>
                <w:b/>
                <w:bCs/>
                <w:sz w:val="22"/>
                <w:szCs w:val="22"/>
                <w:lang w:val="zh-CN"/>
              </w:rPr>
              <w:t>（提供承诺函）</w:t>
            </w:r>
          </w:p>
          <w:p w14:paraId="2BFB6D1A">
            <w:pPr>
              <w:pStyle w:val="12"/>
              <w:keepNext w:val="0"/>
              <w:keepLines w:val="0"/>
              <w:widowControl/>
              <w:suppressLineNumbers w:val="0"/>
              <w:pBdr>
                <w:top w:val="none" w:color="auto" w:sz="0" w:space="0"/>
                <w:left w:val="none" w:color="auto" w:sz="0" w:space="0"/>
                <w:bottom w:val="none" w:color="auto" w:sz="0" w:space="0"/>
                <w:right w:val="none" w:color="auto" w:sz="0" w:space="0"/>
              </w:pBdr>
              <w:wordWrap/>
              <w:bidi w:val="0"/>
              <w:spacing w:before="105" w:beforeAutospacing="0" w:after="105" w:afterAutospacing="0" w:line="23" w:lineRule="atLeast"/>
              <w:ind w:left="218" w:leftChars="91" w:right="0" w:firstLine="0" w:firstLineChars="0"/>
              <w:jc w:val="left"/>
              <w:textAlignment w:val="baseline"/>
              <w:rPr>
                <w:rFonts w:hint="eastAsia" w:ascii="Times New Roman" w:hAnsi="Times New Roman" w:eastAsia="仿宋" w:cs="Times New Roman"/>
                <w:b/>
                <w:bCs/>
                <w:sz w:val="22"/>
                <w:szCs w:val="22"/>
                <w:lang w:val="zh-CN"/>
              </w:rPr>
            </w:pPr>
            <w:r>
              <w:rPr>
                <w:rFonts w:hint="eastAsia" w:ascii="Times New Roman" w:hAnsi="Times New Roman" w:eastAsia="仿宋" w:cs="Times New Roman"/>
                <w:sz w:val="22"/>
                <w:szCs w:val="22"/>
                <w:lang w:val="en-US" w:eastAsia="zh-CN"/>
              </w:rPr>
              <w:t>4.</w:t>
            </w:r>
            <w:r>
              <w:rPr>
                <w:rFonts w:hint="eastAsia" w:ascii="Times New Roman" w:hAnsi="Times New Roman" w:eastAsia="仿宋" w:cs="Times New Roman"/>
                <w:sz w:val="22"/>
                <w:szCs w:val="22"/>
                <w:lang w:val="zh-CN"/>
              </w:rPr>
              <w:t>运维服务</w:t>
            </w:r>
            <w:r>
              <w:rPr>
                <w:rFonts w:hint="eastAsia" w:ascii="Times New Roman" w:hAnsi="Times New Roman" w:eastAsia="仿宋" w:cs="Times New Roman"/>
                <w:sz w:val="22"/>
                <w:szCs w:val="22"/>
                <w:lang w:val="en-US" w:eastAsia="zh-CN"/>
              </w:rPr>
              <w:t>内容</w:t>
            </w:r>
            <w:r>
              <w:rPr>
                <w:rFonts w:hint="eastAsia" w:ascii="Times New Roman" w:hAnsi="Times New Roman" w:eastAsia="仿宋" w:cs="Times New Roman"/>
                <w:sz w:val="22"/>
                <w:szCs w:val="22"/>
                <w:lang w:val="zh-CN"/>
              </w:rPr>
              <w:t>：</w:t>
            </w:r>
            <w:r>
              <w:rPr>
                <w:rFonts w:hint="eastAsia" w:ascii="Times New Roman" w:hAnsi="Times New Roman" w:eastAsia="仿宋" w:cs="Times New Roman"/>
                <w:b/>
                <w:bCs/>
                <w:sz w:val="22"/>
                <w:szCs w:val="22"/>
                <w:lang w:val="en-US" w:eastAsia="zh-CN"/>
              </w:rPr>
              <w:t>包括但不限于服务器，应用等各种问题及漏洞处理</w:t>
            </w:r>
            <w:r>
              <w:rPr>
                <w:rFonts w:hint="eastAsia" w:ascii="Times New Roman" w:hAnsi="Times New Roman" w:eastAsia="仿宋" w:cs="Times New Roman"/>
                <w:b/>
                <w:bCs/>
                <w:sz w:val="22"/>
                <w:szCs w:val="22"/>
                <w:lang w:val="zh-CN"/>
              </w:rPr>
              <w:t>（提供承诺函）</w:t>
            </w:r>
          </w:p>
          <w:p w14:paraId="423CBE4B">
            <w:pPr>
              <w:pStyle w:val="12"/>
              <w:keepNext w:val="0"/>
              <w:keepLines w:val="0"/>
              <w:widowControl/>
              <w:suppressLineNumbers w:val="0"/>
              <w:pBdr>
                <w:top w:val="none" w:color="auto" w:sz="0" w:space="0"/>
                <w:left w:val="none" w:color="auto" w:sz="0" w:space="0"/>
                <w:bottom w:val="none" w:color="auto" w:sz="0" w:space="0"/>
                <w:right w:val="none" w:color="auto" w:sz="0" w:space="0"/>
              </w:pBdr>
              <w:wordWrap/>
              <w:bidi w:val="0"/>
              <w:spacing w:before="105" w:beforeAutospacing="0" w:after="105" w:afterAutospacing="0" w:line="23" w:lineRule="atLeast"/>
              <w:ind w:left="218" w:leftChars="91" w:right="0" w:firstLine="0" w:firstLineChars="0"/>
              <w:jc w:val="left"/>
              <w:textAlignment w:val="baseline"/>
              <w:rPr>
                <w:rFonts w:hint="eastAsia" w:ascii="Times New Roman" w:hAnsi="Times New Roman" w:eastAsia="仿宋" w:cs="Times New Roman"/>
                <w:b/>
                <w:bCs/>
                <w:sz w:val="22"/>
                <w:szCs w:val="22"/>
                <w:lang w:val="zh-CN"/>
              </w:rPr>
            </w:pPr>
            <w:r>
              <w:rPr>
                <w:rFonts w:hint="eastAsia" w:ascii="Times New Roman" w:hAnsi="Times New Roman" w:eastAsia="仿宋" w:cs="Times New Roman"/>
                <w:sz w:val="22"/>
                <w:szCs w:val="22"/>
                <w:lang w:val="en-US" w:eastAsia="zh-CN"/>
              </w:rPr>
              <w:t>5.</w:t>
            </w:r>
            <w:r>
              <w:rPr>
                <w:rFonts w:hint="eastAsia" w:ascii="Times New Roman" w:hAnsi="Times New Roman" w:eastAsia="仿宋" w:cs="Times New Roman"/>
                <w:sz w:val="22"/>
                <w:szCs w:val="22"/>
                <w:lang w:val="zh-CN"/>
              </w:rPr>
              <w:t>运维服务期：</w:t>
            </w:r>
            <w:r>
              <w:rPr>
                <w:rFonts w:hint="eastAsia" w:ascii="Times New Roman" w:hAnsi="Times New Roman" w:eastAsia="仿宋" w:cs="Times New Roman"/>
                <w:b/>
                <w:bCs/>
                <w:sz w:val="22"/>
                <w:szCs w:val="22"/>
                <w:lang w:val="en-US" w:eastAsia="zh-CN"/>
              </w:rPr>
              <w:t>长期</w:t>
            </w:r>
            <w:r>
              <w:rPr>
                <w:rFonts w:hint="eastAsia" w:ascii="Times New Roman" w:hAnsi="Times New Roman" w:eastAsia="仿宋" w:cs="Times New Roman"/>
                <w:b/>
                <w:bCs/>
                <w:sz w:val="22"/>
                <w:szCs w:val="22"/>
                <w:lang w:val="zh-CN"/>
              </w:rPr>
              <w:t>质保，</w:t>
            </w:r>
            <w:r>
              <w:rPr>
                <w:rFonts w:hint="default" w:ascii="Times New Roman" w:hAnsi="Times New Roman" w:eastAsia="仿宋" w:cs="Times New Roman"/>
                <w:b/>
                <w:bCs/>
                <w:sz w:val="22"/>
                <w:szCs w:val="22"/>
                <w:lang w:val="en-US" w:eastAsia="zh-CN"/>
              </w:rPr>
              <w:t>不另行收费</w:t>
            </w:r>
            <w:r>
              <w:rPr>
                <w:rFonts w:hint="eastAsia" w:ascii="Times New Roman" w:hAnsi="Times New Roman" w:eastAsia="仿宋" w:cs="Times New Roman"/>
                <w:b/>
                <w:bCs/>
                <w:sz w:val="22"/>
                <w:szCs w:val="22"/>
                <w:lang w:val="en-US" w:eastAsia="zh-CN"/>
              </w:rPr>
              <w:t>。</w:t>
            </w:r>
          </w:p>
        </w:tc>
      </w:tr>
      <w:tr w14:paraId="59F886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35" w:type="dxa"/>
            <w:tcBorders>
              <w:tl2br w:val="nil"/>
              <w:tr2bl w:val="nil"/>
            </w:tcBorders>
            <w:vAlign w:val="center"/>
          </w:tcPr>
          <w:p w14:paraId="0749F2C6">
            <w:pPr>
              <w:pStyle w:val="25"/>
              <w:spacing w:line="300" w:lineRule="auto"/>
              <w:jc w:val="center"/>
              <w:rPr>
                <w:rFonts w:hint="eastAsia" w:ascii="Times New Roman" w:hAnsi="Times New Roman" w:eastAsia="仿宋" w:cs="Times New Roman"/>
                <w:sz w:val="22"/>
                <w:szCs w:val="22"/>
                <w:lang w:eastAsia="zh-CN"/>
              </w:rPr>
            </w:pPr>
            <w:r>
              <w:rPr>
                <w:rFonts w:hint="eastAsia" w:ascii="Times New Roman" w:hAnsi="Times New Roman" w:eastAsia="仿宋" w:cs="Times New Roman"/>
                <w:sz w:val="22"/>
                <w:szCs w:val="22"/>
                <w:lang w:val="en-US" w:eastAsia="zh-CN"/>
              </w:rPr>
              <w:t>4</w:t>
            </w:r>
          </w:p>
        </w:tc>
        <w:tc>
          <w:tcPr>
            <w:tcW w:w="2040" w:type="dxa"/>
            <w:tcBorders>
              <w:tl2br w:val="nil"/>
              <w:tr2bl w:val="nil"/>
            </w:tcBorders>
            <w:vAlign w:val="center"/>
          </w:tcPr>
          <w:p w14:paraId="3B8697BB">
            <w:pPr>
              <w:pStyle w:val="25"/>
              <w:spacing w:line="300" w:lineRule="auto"/>
              <w:jc w:val="center"/>
              <w:rPr>
                <w:rFonts w:ascii="Times New Roman" w:hAnsi="Times New Roman" w:eastAsia="仿宋" w:cs="Times New Roman"/>
                <w:sz w:val="22"/>
                <w:szCs w:val="22"/>
                <w:lang w:val="zh-CN"/>
              </w:rPr>
            </w:pPr>
            <w:r>
              <w:rPr>
                <w:rFonts w:hint="default" w:ascii="Times New Roman" w:hAnsi="Times New Roman" w:eastAsia="仿宋" w:cs="Times New Roman"/>
                <w:b w:val="0"/>
                <w:bCs w:val="0"/>
                <w:kern w:val="2"/>
                <w:sz w:val="22"/>
                <w:szCs w:val="22"/>
                <w:lang w:val="en-US" w:eastAsia="zh-CN" w:bidi="ar-SA"/>
              </w:rPr>
              <w:t>费用及支付</w:t>
            </w:r>
          </w:p>
        </w:tc>
        <w:tc>
          <w:tcPr>
            <w:tcW w:w="7200" w:type="dxa"/>
            <w:tcBorders>
              <w:tl2br w:val="nil"/>
              <w:tr2bl w:val="nil"/>
            </w:tcBorders>
            <w:vAlign w:val="center"/>
          </w:tcPr>
          <w:p w14:paraId="270CD67F">
            <w:pPr>
              <w:pStyle w:val="30"/>
              <w:ind w:leftChars="100"/>
              <w:rPr>
                <w:rFonts w:hint="eastAsia" w:ascii="Times New Roman" w:hAnsi="Times New Roman" w:eastAsia="仿宋" w:cs="Times New Roman"/>
                <w:sz w:val="22"/>
                <w:szCs w:val="22"/>
                <w:lang w:val="zh-CN" w:eastAsia="zh-CN" w:bidi="ar-SA"/>
              </w:rPr>
            </w:pPr>
            <w:r>
              <w:rPr>
                <w:rFonts w:hint="eastAsia" w:ascii="Times New Roman" w:hAnsi="Times New Roman" w:eastAsia="仿宋" w:cs="Times New Roman"/>
                <w:sz w:val="22"/>
                <w:szCs w:val="22"/>
                <w:lang w:val="en-US" w:eastAsia="zh-CN" w:bidi="ar-SA"/>
              </w:rPr>
              <w:t>1.</w:t>
            </w:r>
            <w:r>
              <w:rPr>
                <w:rFonts w:hint="eastAsia" w:ascii="Times New Roman" w:hAnsi="Times New Roman" w:eastAsia="仿宋" w:cs="Times New Roman"/>
                <w:sz w:val="22"/>
                <w:szCs w:val="22"/>
                <w:lang w:val="zh-CN" w:eastAsia="zh-CN" w:bidi="ar-SA"/>
              </w:rPr>
              <w:t>合同正式签订后，达到付款条件起</w:t>
            </w:r>
            <w:r>
              <w:rPr>
                <w:rFonts w:hint="default" w:ascii="Times New Roman" w:hAnsi="Times New Roman" w:eastAsia="仿宋" w:cs="Times New Roman"/>
                <w:sz w:val="22"/>
                <w:szCs w:val="22"/>
                <w:lang w:val="zh-CN" w:eastAsia="zh-CN" w:bidi="ar-SA"/>
              </w:rPr>
              <w:t>30</w:t>
            </w:r>
            <w:r>
              <w:rPr>
                <w:rFonts w:hint="eastAsia" w:ascii="Times New Roman" w:hAnsi="Times New Roman" w:eastAsia="仿宋" w:cs="Times New Roman"/>
                <w:sz w:val="22"/>
                <w:szCs w:val="22"/>
                <w:lang w:val="zh-CN" w:eastAsia="zh-CN" w:bidi="ar-SA"/>
              </w:rPr>
              <w:t>日内，支付合同总金额的40%</w:t>
            </w:r>
          </w:p>
          <w:p w14:paraId="21D4361E">
            <w:pPr>
              <w:pStyle w:val="30"/>
              <w:ind w:leftChars="100"/>
            </w:pPr>
            <w:r>
              <w:rPr>
                <w:rFonts w:hint="eastAsia" w:ascii="Times New Roman" w:hAnsi="Times New Roman" w:eastAsia="仿宋" w:cs="Times New Roman"/>
                <w:sz w:val="22"/>
                <w:szCs w:val="22"/>
                <w:lang w:val="zh-CN" w:eastAsia="zh-CN" w:bidi="ar-SA"/>
              </w:rPr>
              <w:t>，项目内的所有软、硬件安装调试完成、验收合格，达到付款条件起</w:t>
            </w:r>
            <w:r>
              <w:rPr>
                <w:rFonts w:hint="default" w:ascii="Times New Roman" w:hAnsi="Times New Roman" w:eastAsia="仿宋" w:cs="Times New Roman"/>
                <w:sz w:val="22"/>
                <w:szCs w:val="22"/>
                <w:lang w:val="zh-CN" w:eastAsia="zh-CN" w:bidi="ar-SA"/>
              </w:rPr>
              <w:t>30</w:t>
            </w:r>
            <w:r>
              <w:rPr>
                <w:rFonts w:hint="eastAsia" w:ascii="Times New Roman" w:hAnsi="Times New Roman" w:eastAsia="仿宋" w:cs="Times New Roman"/>
                <w:sz w:val="22"/>
                <w:szCs w:val="22"/>
                <w:lang w:val="zh-CN" w:eastAsia="zh-CN" w:bidi="ar-SA"/>
              </w:rPr>
              <w:t>日内，支付合同总金额的60%</w:t>
            </w:r>
          </w:p>
          <w:p w14:paraId="5137C6A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218" w:leftChars="91" w:right="0" w:firstLine="0" w:firstLineChars="0"/>
              <w:jc w:val="left"/>
              <w:textAlignment w:val="baseline"/>
              <w:rPr>
                <w:rFonts w:hint="default" w:ascii="Times New Roman" w:hAnsi="Times New Roman" w:eastAsia="仿宋" w:cs="Times New Roman"/>
                <w:sz w:val="22"/>
                <w:szCs w:val="22"/>
                <w:lang w:val="en-US" w:eastAsia="zh-CN" w:bidi="ar-SA"/>
              </w:rPr>
            </w:pPr>
            <w:r>
              <w:rPr>
                <w:rFonts w:hint="eastAsia" w:ascii="Times New Roman" w:hAnsi="Times New Roman" w:eastAsia="仿宋" w:cs="Times New Roman"/>
                <w:kern w:val="0"/>
                <w:sz w:val="22"/>
                <w:szCs w:val="22"/>
                <w:lang w:val="en-US" w:eastAsia="zh-CN" w:bidi="ar-SA"/>
              </w:rPr>
              <w:t>2.</w:t>
            </w:r>
            <w:r>
              <w:rPr>
                <w:rFonts w:hint="default" w:ascii="Times New Roman" w:hAnsi="Times New Roman" w:eastAsia="仿宋" w:cs="Times New Roman"/>
                <w:kern w:val="0"/>
                <w:sz w:val="22"/>
                <w:szCs w:val="22"/>
                <w:lang w:val="en-US" w:eastAsia="zh-CN" w:bidi="ar-SA"/>
              </w:rPr>
              <w:t>后续</w:t>
            </w:r>
            <w:r>
              <w:rPr>
                <w:rFonts w:hint="eastAsia" w:ascii="Times New Roman" w:hAnsi="Times New Roman" w:eastAsia="仿宋" w:cs="Times New Roman"/>
                <w:kern w:val="0"/>
                <w:sz w:val="22"/>
                <w:szCs w:val="22"/>
                <w:lang w:val="en-US" w:eastAsia="zh-CN" w:bidi="ar-SA"/>
              </w:rPr>
              <w:t>流量</w:t>
            </w:r>
            <w:r>
              <w:rPr>
                <w:rFonts w:hint="default" w:ascii="Times New Roman" w:hAnsi="Times New Roman" w:eastAsia="仿宋" w:cs="Times New Roman"/>
                <w:kern w:val="0"/>
                <w:sz w:val="22"/>
                <w:szCs w:val="22"/>
                <w:lang w:val="en-US" w:eastAsia="zh-CN" w:bidi="ar-SA"/>
              </w:rPr>
              <w:t>费用：</w:t>
            </w:r>
            <w:r>
              <w:rPr>
                <w:rFonts w:hint="eastAsia" w:ascii="Times New Roman" w:hAnsi="Times New Roman" w:eastAsia="仿宋" w:cs="Times New Roman"/>
                <w:b/>
                <w:bCs/>
                <w:kern w:val="0"/>
                <w:sz w:val="22"/>
                <w:szCs w:val="22"/>
                <w:lang w:val="en-US" w:eastAsia="zh-CN" w:bidi="ar-SA"/>
              </w:rPr>
              <w:t>不高于240元/年/张</w:t>
            </w:r>
            <w:r>
              <w:rPr>
                <w:rFonts w:hint="default" w:ascii="Times New Roman" w:hAnsi="Times New Roman" w:eastAsia="仿宋" w:cs="Times New Roman"/>
                <w:kern w:val="0"/>
                <w:sz w:val="22"/>
                <w:szCs w:val="22"/>
                <w:lang w:val="en-US" w:eastAsia="zh-CN" w:bidi="ar-SA"/>
              </w:rPr>
              <w:t>。</w:t>
            </w:r>
          </w:p>
        </w:tc>
      </w:tr>
    </w:tbl>
    <w:p w14:paraId="144A4E53">
      <w:pPr>
        <w:keepNext w:val="0"/>
        <w:keepLines w:val="0"/>
        <w:pageBreakBefore w:val="0"/>
        <w:widowControl w:val="0"/>
        <w:kinsoku/>
        <w:wordWrap/>
        <w:overflowPunct/>
        <w:topLinePunct w:val="0"/>
        <w:autoSpaceDE w:val="0"/>
        <w:autoSpaceDN w:val="0"/>
        <w:bidi w:val="0"/>
        <w:adjustRightInd/>
        <w:snapToGrid/>
        <w:spacing w:line="520" w:lineRule="exact"/>
        <w:textAlignment w:val="auto"/>
        <w:outlineLvl w:val="1"/>
        <w:rPr>
          <w:rFonts w:hint="eastAsia" w:ascii="Times New Roman" w:hAnsi="Times New Roman" w:eastAsia="仿宋" w:cs="Times New Roman"/>
          <w:b/>
          <w:bCs/>
          <w:sz w:val="28"/>
          <w:lang w:val="zh-CN"/>
        </w:rPr>
      </w:pPr>
    </w:p>
    <w:p w14:paraId="37CBD5BB">
      <w:pPr>
        <w:tabs>
          <w:tab w:val="left" w:pos="1447"/>
        </w:tabs>
        <w:bidi w:val="0"/>
        <w:jc w:val="left"/>
        <w:rPr>
          <w:rFonts w:hint="eastAsia" w:eastAsia="宋体"/>
          <w:lang w:eastAsia="zh-CN"/>
        </w:rPr>
      </w:pPr>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9D37C2">
    <w:pPr>
      <w:spacing w:line="188" w:lineRule="auto"/>
      <w:ind w:left="4901"/>
      <w:rPr>
        <w:rFonts w:ascii="Calibri" w:hAnsi="Calibri" w:eastAsia="Calibri" w:cs="Calibri"/>
        <w:sz w:val="17"/>
        <w:szCs w:val="17"/>
      </w:rPr>
    </w:pPr>
    <w:r>
      <w:rPr>
        <w:sz w:val="17"/>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75C338D">
                          <w:pPr>
                            <w:pStyle w:val="7"/>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175C338D">
                    <w:pPr>
                      <w:pStyle w:val="7"/>
                    </w:pPr>
                    <w:r>
                      <w:fldChar w:fldCharType="begin"/>
                    </w:r>
                    <w:r>
                      <w:instrText xml:space="preserve"> PAGE  \* MERGEFORMAT </w:instrText>
                    </w:r>
                    <w:r>
                      <w:fldChar w:fldCharType="separate"/>
                    </w:r>
                    <w:r>
                      <w:t>11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5840CD">
    <w:pPr>
      <w:spacing w:before="72" w:line="173" w:lineRule="auto"/>
      <w:ind w:left="118"/>
      <w:rPr>
        <w:rFonts w:ascii="仿宋" w:hAnsi="仿宋" w:eastAsia="仿宋" w:cs="仿宋"/>
        <w:sz w:val="17"/>
        <w:szCs w:val="17"/>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6871541"/>
    <w:multiLevelType w:val="singleLevel"/>
    <w:tmpl w:val="A6871541"/>
    <w:lvl w:ilvl="0" w:tentative="0">
      <w:start w:val="1"/>
      <w:numFmt w:val="decimal"/>
      <w:lvlText w:val="%1."/>
      <w:lvlJc w:val="left"/>
      <w:pPr>
        <w:tabs>
          <w:tab w:val="left" w:pos="312"/>
        </w:tabs>
      </w:pPr>
    </w:lvl>
  </w:abstractNum>
  <w:abstractNum w:abstractNumId="1">
    <w:nsid w:val="36883EF9"/>
    <w:multiLevelType w:val="multilevel"/>
    <w:tmpl w:val="36883EF9"/>
    <w:lvl w:ilvl="0" w:tentative="0">
      <w:start w:val="1"/>
      <w:numFmt w:val="chineseCountingThousand"/>
      <w:lvlText w:val="%1、"/>
      <w:lvlJc w:val="left"/>
      <w:pPr>
        <w:ind w:left="425" w:hanging="425"/>
      </w:pPr>
      <w:rPr>
        <w:rFonts w:hint="eastAsia"/>
      </w:rPr>
    </w:lvl>
    <w:lvl w:ilvl="1" w:tentative="0">
      <w:start w:val="1"/>
      <w:numFmt w:val="decimal"/>
      <w:isLgl/>
      <w:lvlText w:val="%1.%2、"/>
      <w:lvlJc w:val="left"/>
      <w:pPr>
        <w:ind w:left="567" w:hanging="567"/>
      </w:pPr>
      <w:rPr>
        <w:rFonts w:hint="eastAsia"/>
      </w:rPr>
    </w:lvl>
    <w:lvl w:ilvl="2" w:tentative="0">
      <w:start w:val="1"/>
      <w:numFmt w:val="decimal"/>
      <w:pStyle w:val="3"/>
      <w:isLgl/>
      <w:lvlText w:val="%1.%2.%3、"/>
      <w:lvlJc w:val="left"/>
      <w:pPr>
        <w:ind w:left="709" w:hanging="709"/>
      </w:pPr>
      <w:rPr>
        <w:rFonts w:hint="eastAsia"/>
      </w:rPr>
    </w:lvl>
    <w:lvl w:ilvl="3" w:tentative="0">
      <w:start w:val="1"/>
      <w:numFmt w:val="decimal"/>
      <w:isLgl/>
      <w:lvlText w:val="%1.%2.%3.%4、"/>
      <w:lvlJc w:val="left"/>
      <w:pPr>
        <w:ind w:left="851" w:hanging="851"/>
      </w:pPr>
      <w:rPr>
        <w:rFonts w:hint="eastAsia"/>
      </w:rPr>
    </w:lvl>
    <w:lvl w:ilvl="4" w:tentative="0">
      <w:start w:val="1"/>
      <w:numFmt w:val="decimal"/>
      <w:isLgl/>
      <w:lvlText w:val="%1.%2.%3.%4.%5、"/>
      <w:lvlJc w:val="left"/>
      <w:pPr>
        <w:ind w:left="992" w:hanging="992"/>
      </w:pPr>
      <w:rPr>
        <w:rFonts w:hint="eastAsia"/>
      </w:rPr>
    </w:lvl>
    <w:lvl w:ilvl="5" w:tentative="0">
      <w:start w:val="1"/>
      <w:numFmt w:val="decimal"/>
      <w:isLgl/>
      <w:lvlText w:val="%1.%2.%3.%4.%5.%6、"/>
      <w:lvlJc w:val="left"/>
      <w:pPr>
        <w:ind w:left="1134" w:hanging="1134"/>
      </w:pPr>
      <w:rPr>
        <w:rFonts w:hint="eastAsia"/>
      </w:rPr>
    </w:lvl>
    <w:lvl w:ilvl="6" w:tentative="0">
      <w:start w:val="1"/>
      <w:numFmt w:val="decimal"/>
      <w:isLgl/>
      <w:lvlText w:val="%1.%2.%3.%4.%5.%6.%7."/>
      <w:lvlJc w:val="left"/>
      <w:pPr>
        <w:ind w:left="1276" w:hanging="1276"/>
      </w:pPr>
      <w:rPr>
        <w:rFonts w:hint="eastAsia"/>
      </w:rPr>
    </w:lvl>
    <w:lvl w:ilvl="7" w:tentative="0">
      <w:start w:val="1"/>
      <w:numFmt w:val="decimal"/>
      <w:isLgl/>
      <w:lvlText w:val="%1.%2.%3.%4.%5.%6.%7.%8."/>
      <w:lvlJc w:val="left"/>
      <w:pPr>
        <w:ind w:left="1418" w:hanging="1418"/>
      </w:pPr>
      <w:rPr>
        <w:rFonts w:hint="eastAsia"/>
      </w:rPr>
    </w:lvl>
    <w:lvl w:ilvl="8" w:tentative="0">
      <w:start w:val="1"/>
      <w:numFmt w:val="decimal"/>
      <w:isLgl/>
      <w:lvlText w:val="%1.%2.%3.%4.%5.%6.%7.%8.%9."/>
      <w:lvlJc w:val="left"/>
      <w:pPr>
        <w:ind w:left="1559" w:hanging="1559"/>
      </w:pPr>
      <w:rPr>
        <w:rFonts w:hint="eastAsia"/>
      </w:rPr>
    </w:lvl>
  </w:abstractNum>
  <w:abstractNum w:abstractNumId="2">
    <w:nsid w:val="423B6CA2"/>
    <w:multiLevelType w:val="singleLevel"/>
    <w:tmpl w:val="423B6CA2"/>
    <w:lvl w:ilvl="0" w:tentative="0">
      <w:start w:val="3"/>
      <w:numFmt w:val="chineseCounting"/>
      <w:suff w:val="nothing"/>
      <w:lvlText w:val="%1、"/>
      <w:lvlJc w:val="left"/>
      <w:rPr>
        <w:rFonts w:hint="eastAsia"/>
      </w:rPr>
    </w:lvl>
  </w:abstractNum>
  <w:abstractNum w:abstractNumId="3">
    <w:nsid w:val="73EBAF48"/>
    <w:multiLevelType w:val="singleLevel"/>
    <w:tmpl w:val="73EBAF48"/>
    <w:lvl w:ilvl="0" w:tentative="0">
      <w:start w:val="1"/>
      <w:numFmt w:val="chineseCounting"/>
      <w:suff w:val="nothing"/>
      <w:lvlText w:val="%1、"/>
      <w:lvlJc w:val="left"/>
      <w:rPr>
        <w:rFonts w:hint="eastAsia"/>
      </w:rPr>
    </w:lvl>
  </w:abstractNum>
  <w:num w:numId="1">
    <w:abstractNumId w:val="1"/>
  </w:num>
  <w:num w:numId="2">
    <w:abstractNumId w:val="3"/>
  </w:num>
  <w:num w:numId="3">
    <w:abstractNumId w:val="2"/>
  </w:num>
  <w:num w:numId="4">
    <w:abstractNumId w:val="0"/>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